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C2BB9">
      <w:pPr>
        <w:pStyle w:val="4"/>
        <w:numPr>
          <w:ilvl w:val="0"/>
          <w:numId w:val="0"/>
        </w:numPr>
        <w:spacing w:line="360" w:lineRule="auto"/>
        <w:ind w:firstLine="800" w:firstLineChars="200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广东省职业病防治院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常年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法律顾问服务项目</w:t>
      </w:r>
    </w:p>
    <w:p w14:paraId="4E21E23E">
      <w:pPr>
        <w:pStyle w:val="4"/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</w:rPr>
        <w:t>项目概况</w:t>
      </w:r>
    </w:p>
    <w:p w14:paraId="4B44BCEB">
      <w:pPr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（一）项目名称：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广东省职业病防治院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常年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法律顾问服务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项目</w:t>
      </w:r>
    </w:p>
    <w:p w14:paraId="26798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（二）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服务期限：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项目总服务周期3年，采用1+1+1年度续签模式，每年服务期满后，招标人对中标律所进行综合服务考核，考核合格的，双方续签下一年度服务合同；考核不合格或出现本需求书约定终止情形的，招标人有权不再续签，本项目服务关系自动终止。</w:t>
      </w:r>
    </w:p>
    <w:p w14:paraId="25C7EDC4">
      <w:pPr>
        <w:spacing w:line="360" w:lineRule="auto"/>
        <w:ind w:firstLine="482" w:firstLineChars="15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（三）项目背景与目标</w:t>
      </w:r>
    </w:p>
    <w:p w14:paraId="2EE94959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为保障我院日常运营、重大决策、合规管理等工作的合法合规性，防范化解各类法律风险，妥善处理法律纠纷相关事宜，招标人选聘专业律师事务所提供常年法律顾问服务。</w:t>
      </w:r>
    </w:p>
    <w:p w14:paraId="24E4ACE8">
      <w:pPr>
        <w:ind w:firstLine="640" w:firstLineChars="20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招标内容和服务需求</w:t>
      </w:r>
    </w:p>
    <w:p w14:paraId="4BF5C929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（一）服务团队要求</w:t>
      </w:r>
    </w:p>
    <w:p w14:paraId="13E633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中标律所须指派固定专属律师团队提供服务，团队中至少配备1名具备5年及以上医疗卫生行业或公共卫生行业法律服务经验的核心律师，该律师需精通医疗卫生、公共卫生、职业卫生等相关法律法规、行业政策及三甲医院运营管理特点，熟练处理医疗纠纷案件或职业病纠纷案件，能独立为招标人医疗纠纷、职业病纠纷处置提供全流程专业法律支持；团队整体成员包含执业律师及律师助理，人员配置满足本项目全部服务需求，且服务期间不得随意更换核心团队成员，如需更换须提前15个工作日向招标人书面申请并获同意。</w:t>
      </w:r>
    </w:p>
    <w:p w14:paraId="57405899">
      <w:pPr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2.团队应建立专属沟通机制，指定1名总协调律师作为固定联系人，负责日常法律服务对接、工作进度反馈及需求响应，保障7×24小时紧急事项联络畅通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。</w:t>
      </w:r>
    </w:p>
    <w:p w14:paraId="0D731E3D">
      <w:pPr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（二）核心服务内容</w:t>
      </w:r>
    </w:p>
    <w:p w14:paraId="4D1402B0">
      <w:pPr>
        <w:ind w:firstLine="640" w:firstLineChars="200"/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本次法律顾问服务为费用总包制，包含以下所有内容，中标律所应按要求完成全部服务事项，具体如下：</w:t>
      </w:r>
    </w:p>
    <w:p w14:paraId="60A235D6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法律辅导与培训：每年为医院指定人员开展不少于2次法律知识辅导/培训，形式包括讲座、沙龙、交流会等，需提前制定培训教案、制作课件，确保培训内容贴合医院运营实际（如职业病诊断纠纷、职业病信访、医疗纠纷防范、合同管理、劳动用工合规等）。</w:t>
      </w:r>
    </w:p>
    <w:p w14:paraId="6D06A66E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2.合同审查与起草：对医院日常经营中的各类重要合同（含担保、贷款、技术、知识产权转让/许可、物资采购、产品经销/服务、劳动/劳务合同等）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提供可编辑电子版本审查意见/修改稿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7F5E72C4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（1）系统流转的一般经济合同：已纳入合同管理系统管理、标的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万元以上的常规经济合同，法律顾问应在24小时内完成审签并出具意见；</w:t>
      </w:r>
    </w:p>
    <w:p w14:paraId="7A7886F4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（2）系统流转的重大复杂合同：标的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万元以上但涉及复杂或医院重大事项的合同，一般应在48小时内答复；</w:t>
      </w:r>
    </w:p>
    <w:p w14:paraId="39C28705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（3）其他需审查合同：非经济类合同及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万元以下经济合同，根据部门需要提交审查的，一般应在48小时内答复；</w:t>
      </w:r>
    </w:p>
    <w:p w14:paraId="5CB4069B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（4）紧急事项：遇特殊情况需加急处理的，双方另行协商确定时限。</w:t>
      </w:r>
    </w:p>
    <w:p w14:paraId="280C5486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3.日常法律咨询：就医院医疗运营、劳资管理、纠纷处理（医疗纠纷和职业病纠纷）等业务活动及内部管理中的法律问题提供法律咨询意见，必要时协助医院现场处理相关法律事宜。</w:t>
      </w:r>
    </w:p>
    <w:p w14:paraId="036626AC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一般咨询：口头或书面形式答复，1个工作日内出具法律意见书或咨询意见；</w:t>
      </w:r>
    </w:p>
    <w:p w14:paraId="2B3F884C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紧急事项：涉及重大医疗纠纷、突发公共卫生事件等紧急情况，双方即时响应，即时协商确定具体时限。</w:t>
      </w:r>
    </w:p>
    <w:p w14:paraId="6C71554E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重大事项合规审查：对医院“三重一大”事项（重大决策、重大项目、重要干部任免、大额资金使用）的合法性进行审查；对医院管理制度、员工手册、财务制度等规章文件进行合法合规性审查，提示潜在法律风险并提出改进建议。</w:t>
      </w:r>
    </w:p>
    <w:p w14:paraId="5EAE4224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5.法律文件审查与拟定：对医院对外发布的公告、公示、声明、对外承诺等具有法律约束力的文件进行审查或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拟订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，一般情况48小时内出具审查意见，特殊情况不超过72小时。</w:t>
      </w:r>
    </w:p>
    <w:p w14:paraId="5CB47DB0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6.律师函出具</w:t>
      </w:r>
    </w:p>
    <w:p w14:paraId="05DEA195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（1）常规律师函：就医院运营中的各类纠纷，在合法合规前提下按要求出具并寄送律师函，24小时内拟定完成，经医院确认后2小时内寄出；</w:t>
      </w:r>
    </w:p>
    <w:p w14:paraId="382D298D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（2）催款函出具：根据医院需求，为医院医疗欠费等事宜出具年度催款函，包含欠费主体核实、催款内容拟定、函件寄送等全流程服务，相关材料由医院配合提供，律所确保函件的合法性、专业性和有效性。</w:t>
      </w:r>
    </w:p>
    <w:p w14:paraId="663E7709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7.伦理委员会相关工作：指派律师担任医院伦理委员会成员，按时参加伦理委员会会议，对会议审议议题提供专业法律意见，保障审议工作合法合规。</w:t>
      </w:r>
    </w:p>
    <w:p w14:paraId="4342F0E2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8.行业法律信息服务：持续关注医疗行业、职业健康行业法律法规、政策规范的更新动态，及时向医院提供行业合规信息，从法律角度提出风险防范和运营优化建议。</w:t>
      </w:r>
    </w:p>
    <w:p w14:paraId="490F91B4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9.新项目法律论证：对医院新开展技术项目的法律风险进行分析、论证，提供充分的法律依据和专业法律意见，助力新项目合法落地。</w:t>
      </w:r>
    </w:p>
    <w:p w14:paraId="6C55DE1A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10.科研成果转化法律论证：对医院科研成果转化项目的法律风险进行分析、论证，提供充分的法律和专业法律意见，助力科研成果转化合法落地。</w:t>
      </w:r>
    </w:p>
    <w:p w14:paraId="11559FAA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.专项非诉讼法律服务：为医院重大医疗设备融资采购、医疗数据与临床试验合规、药品集采、建设工程履约、医疗广告、医疗刑事合规、第三方单位并购等事项提供合规审查及法律论证服务。</w:t>
      </w:r>
    </w:p>
    <w:p w14:paraId="768C5E03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12.接收新海医院的法律服务：（1）参与接收谈判、起草、审核与修改接收协议及相关文件、接收实施与交割阶段的相关文件。（2）协助办理审批与登记手续，协助资产交割与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权属变更、协助人员安置与劳动合同处理，协助债权债务处理与通知，接收后整合阶段法律支持；（3）协助完善内部治理结构，根据接收后的组织形式，协助医院建立健全议事规则、内部管理制度；（4）协助医院处理接收后可能出现的遗留法律问题；（5）持续合规咨询：就接收后医院运营过程中的合规问题提供法律咨询意见。</w:t>
      </w:r>
    </w:p>
    <w:p w14:paraId="0727CE2B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（三）服务方式要求</w:t>
      </w:r>
    </w:p>
    <w:p w14:paraId="08C66244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日常法律服务以电话、微信群、电子邮件为主要沟通方式，中标律所应按招标人要求及时响应；必要时，中标律所律师应按招标人通知，在工作时间3小时内到达招标人指定场所提供现场服务，招标人提供必要的办公条件。</w:t>
      </w:r>
    </w:p>
    <w:p w14:paraId="486C881F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2.中标律所应建立法律服务台账，对所有服务事项（含咨询、合同审查、函件出具、培训等）进行详细记录，每季度向招标人提交服务工作报告，年度提交服务总结报告，配合招标人完成年度服务考核。</w:t>
      </w:r>
    </w:p>
    <w:p w14:paraId="0E2E8803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3.对招标人提供的原始证据、法律文件及商业秘密，中标律所应履行严格的保密义务，不得泄露、复制或向第三方提供，保密义务不因合同终止而失效。</w:t>
      </w:r>
    </w:p>
    <w:p w14:paraId="1160CF7C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（四）诉讼/仲裁代理优先约定</w:t>
      </w:r>
    </w:p>
    <w:p w14:paraId="37A00151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招标人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因法律纠纷需委托律师处理诉讼/仲裁事宜，或需委托专项法律服务的，在同等条件下，中标律所享有优先委托权；相关服务收费按广东省发改委、司法厅相关收费标准下浮20%执行，其中医疗纠纷案件一审律师费上限35000元/件，二审律师费上限12500元/件，具体另行签订委托协议。</w:t>
      </w:r>
    </w:p>
    <w:p w14:paraId="4B58BEC8">
      <w:pPr>
        <w:ind w:firstLine="640" w:firstLineChars="20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三、投标人资格要求</w:t>
      </w:r>
    </w:p>
    <w:p w14:paraId="084E1C5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1.投标人须为依据《中华人民共和国律师法》依法设立的合伙制或特殊的普通合伙制律师事务所，具有独立法人资格，持有有效的执业许可证。</w:t>
      </w:r>
    </w:p>
    <w:p w14:paraId="2090001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2.投标人应具备完善的服务体系和专业的律师团队，团队核心成员具有医疗行业或公共卫生行业法律服务经验，无不良执业记录。</w:t>
      </w:r>
    </w:p>
    <w:p w14:paraId="6AA0BF8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3.投标人近3年（自招标公告发布之日起倒推）未被司法行政部门处罚，未列入失信被执行人名单，无重大法律服务纠纷及投诉记录。</w:t>
      </w:r>
    </w:p>
    <w:p w14:paraId="736A6C79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4.本项目不接受联合体投标，不允许分包、转包。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</w:t>
      </w:r>
    </w:p>
    <w:p w14:paraId="71DF72CE">
      <w:pPr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、年度服务考核与合同续签/终止</w:t>
      </w:r>
    </w:p>
    <w:p w14:paraId="361796D3">
      <w:pPr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（一）年度服务考核</w:t>
      </w:r>
    </w:p>
    <w:p w14:paraId="231201F6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每年服务期满前30个工作日，招标人组织开展年度服务考核，考核内容包括需求响应效率、服务专业性、工作完成质量、沟通配合度等，考核结果分为合格和不合格，考核结果书面通知中标律所。</w:t>
      </w:r>
    </w:p>
    <w:p w14:paraId="0ADA78E5">
      <w:pPr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（二）合同续签</w:t>
      </w:r>
    </w:p>
    <w:p w14:paraId="410ACFCE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年度考核合格的，双方在收到考核结果后15个工作日内，续签下一年度法律顾问服务合同；考核不合格的，招标人有权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不予续签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，本年度服务合同期满后，本项目服务关系自动终止。</w:t>
      </w:r>
    </w:p>
    <w:p w14:paraId="4D3ACE05">
      <w:pPr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（三）即时终止情形</w:t>
      </w:r>
    </w:p>
    <w:p w14:paraId="32953889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服务期内，中标律所如出现下列情形之一的，招标人有权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立即终止本年度服务合同，且不再续签后续年度合同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，同时有权要求中标律所赔偿因此给招标人造成的全部经济损失：</w:t>
      </w:r>
    </w:p>
    <w:p w14:paraId="2E5218AC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1.泄露招标人商业秘密、患者隐私，造成恶劣影响或经济损失的；</w:t>
      </w:r>
    </w:p>
    <w:p w14:paraId="09FBFDA6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2.出具错误法律意见、存在重大执业过失，导致招标人遭受行政处罚、诉讼败诉、经济损失或名誉损害的；</w:t>
      </w:r>
    </w:p>
    <w:p w14:paraId="351AAF43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3.未按约定响应服务需求，累计3次及以上逾期答复、无故拒绝提供服务或未按标准完成服务事项的；</w:t>
      </w:r>
    </w:p>
    <w:p w14:paraId="36277DD0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4.擅自更换核心服务团队成员、团队人员配置不足，影响服务质量且未按招标人要求整改的；</w:t>
      </w:r>
    </w:p>
    <w:p w14:paraId="6F653865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5.存在违反法律法规、律师执业道德、本需求书约定或服务合同条款的其他严重情形的。</w:t>
      </w:r>
    </w:p>
    <w:p w14:paraId="22519B7F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五、响应文件需包括但不限于以下资料</w:t>
      </w:r>
    </w:p>
    <w:p w14:paraId="598ED94A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1.投标人须为依据《中华人民共和国律师法》依法设立的合伙制或特殊的普通合伙制律师事务所，具有独立法人资格，持有有效的执业许可证。</w:t>
      </w:r>
    </w:p>
    <w:p w14:paraId="2EAD9549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2.投标人应提供服务体系和专业的律师团队人员清单，团队核心成员具有医疗行业法律服务经验，无不良执业记录。</w:t>
      </w:r>
    </w:p>
    <w:p w14:paraId="601E7D18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3.投标人近3年（自招标公告发布之日起倒推）未被司法行政部门处罚，未列入失信被执行人名单，无重大法律服务纠纷及投诉记录。</w:t>
      </w:r>
    </w:p>
    <w:p w14:paraId="0F18AC4A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4.投标人具有良好的商业信誉和健全的财务会计制度的证明文件：提供2025年度财务状况报告或2026年内任意一个月财务状况报告或基本开户行出具的资信证明。</w:t>
      </w:r>
    </w:p>
    <w:p w14:paraId="3845535C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5.根据我院采购需求制定的工作服务方案、服务质量保证方案及措施;</w:t>
      </w:r>
    </w:p>
    <w:p w14:paraId="663B8B6F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业绩情况：自2020年1月1日以来（以合同签订时间为准）承接同类业绩项目经验用户满意度评价。（同类业绩不超过五项，提供合同关键页或成交通知书复印件即可，用户满意度评价不超过五项，以加盖公章的业主评价书为依据）；</w:t>
      </w:r>
    </w:p>
    <w:p w14:paraId="610496E6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7.项目报价。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包含本项目所有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费用;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</w:t>
      </w:r>
    </w:p>
    <w:p w14:paraId="52F0B31C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8.本项目不接受联合体投标，不允许分包、转包。</w:t>
      </w:r>
    </w:p>
    <w:p w14:paraId="4AB42DFE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984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246C21"/>
    <w:rsid w:val="001F6C46"/>
    <w:rsid w:val="01106835"/>
    <w:rsid w:val="02F42A13"/>
    <w:rsid w:val="092B4AA7"/>
    <w:rsid w:val="10455D10"/>
    <w:rsid w:val="11F81958"/>
    <w:rsid w:val="157663E7"/>
    <w:rsid w:val="1B6973DD"/>
    <w:rsid w:val="21975F8F"/>
    <w:rsid w:val="24942439"/>
    <w:rsid w:val="29933366"/>
    <w:rsid w:val="2B0A5203"/>
    <w:rsid w:val="2B91474D"/>
    <w:rsid w:val="343F31C1"/>
    <w:rsid w:val="3A373E10"/>
    <w:rsid w:val="3B246C21"/>
    <w:rsid w:val="47A06854"/>
    <w:rsid w:val="508431E3"/>
    <w:rsid w:val="557A1E5A"/>
    <w:rsid w:val="586634C0"/>
    <w:rsid w:val="66B9305E"/>
    <w:rsid w:val="710F07BF"/>
    <w:rsid w:val="79F91ADF"/>
    <w:rsid w:val="7EFD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Compact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3627</Words>
  <Characters>3700</Characters>
  <Lines>0</Lines>
  <Paragraphs>0</Paragraphs>
  <TotalTime>32</TotalTime>
  <ScaleCrop>false</ScaleCrop>
  <LinksUpToDate>false</LinksUpToDate>
  <CharactersWithSpaces>3729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2026-07-24T06:56:00Z</dcterms:created>
  <dc:creator>yan</dc:creator>
  <cp:lastModifiedBy>谭绍东</cp:lastModifiedBy>
  <dcterms:modified xsi:type="dcterms:W3CDTF">2026-09-21T01:28:59Z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CE418287663343CA8ABC8CE985089AF5_13</vt:lpwstr>
  </property>
  <property fmtid="{D5CDD505-2E9C-101B-9397-08002B2CF9AE}" pid="4" name="KSOTemplateDocerSaveRecord">
    <vt:lpwstr>eyJoZGlkIjoiMzk2MjIzMTc2YTQ5NDJkZmM4OWUxMTRkNTE3NzI1NjgiLCJ1c2VySWQiOiIxNzY2NDM2NzM5In0=</vt:lpwstr>
  </property>
</Properties>
</file>