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B276D">
      <w:pPr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广东省职业病防治院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遴选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法律顾问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服务公司需求</w:t>
      </w:r>
    </w:p>
    <w:p w14:paraId="4E21E23E">
      <w:pPr>
        <w:pStyle w:val="4"/>
        <w:numPr>
          <w:ilvl w:val="0"/>
          <w:numId w:val="1"/>
        </w:numPr>
        <w:spacing w:line="360" w:lineRule="auto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项目概况</w:t>
      </w:r>
    </w:p>
    <w:p w14:paraId="4B44BCEB">
      <w:pPr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b/>
          <w:bCs/>
          <w:sz w:val="32"/>
          <w:szCs w:val="32"/>
        </w:rPr>
        <w:t>（一）项目名称：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广东省职业病防治院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遴选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法律顾问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服务公司</w:t>
      </w:r>
    </w:p>
    <w:p w14:paraId="26798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321" w:firstLineChars="1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（二）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服务周期：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3年，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合同先签订1年，后续将根据服务质量及实际使用情况，决定是否续签剩余2年。</w:t>
      </w:r>
    </w:p>
    <w:p w14:paraId="25C7EDC4">
      <w:pPr>
        <w:spacing w:line="360" w:lineRule="auto"/>
        <w:ind w:firstLine="482" w:firstLineChars="1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（三）项目背景与目标</w:t>
      </w:r>
    </w:p>
    <w:p w14:paraId="2EE94959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为保障我院日常运营、重大决策、合规管理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及后续推进接收新海医院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等工作的合法合规性，防范化解各类法律风险，妥善处理法律纠纷等相关事宜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24E4ACE8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法律服务需求内容</w:t>
      </w:r>
    </w:p>
    <w:p w14:paraId="34B66E0B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（一）常规法律服务</w:t>
      </w:r>
    </w:p>
    <w:p w14:paraId="60A235D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法律辅导与培训：每年为医院指定人员开展不少于2次法律知识辅导/培训，形式包括讲座、沙龙、交流会等，需提前制定培训教案、制作课件，确保培训内容贴合医院运营实际（如职业病诊断纠纷、职业病信访、医疗纠纷防范、合同管理、劳动用工合规等）。</w:t>
      </w:r>
    </w:p>
    <w:p w14:paraId="6D06A66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2.合同审查与起草：对医院日常经营中的各类重要合同（含担保、贷款、技术、知识产权转让/许可、物资采购、产品经销/服务、劳动/劳务合同等）进行审查、修改或起草，提供可编辑电子版本审查意见/修改稿。</w:t>
      </w:r>
    </w:p>
    <w:p w14:paraId="7F5E72C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（1）系统流转的一般经济合同：已纳入合同管理系统管理、标的50万元以上的常规经济合同，法律顾问应在24小时内完成审签并出具意见；</w:t>
      </w:r>
    </w:p>
    <w:p w14:paraId="7A7886F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（2）系统流转的重大复杂合同：标的50万元以上但涉及复杂或医院重大事项的合同，一般应在48小时内答复；</w:t>
      </w:r>
    </w:p>
    <w:p w14:paraId="39C287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（3）其他需审查合同：非经济类合同及50万元以下经济合同，根据部门需要提交审查的，一般应在48小时内答复；</w:t>
      </w:r>
    </w:p>
    <w:p w14:paraId="5CB406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（4）紧急事项：遇特殊情况需加急处理的，双方另行协商确定时限。</w:t>
      </w:r>
    </w:p>
    <w:p w14:paraId="280C548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3.日常法律咨询：就医院医疗运营、劳资管理、纠纷处理（医疗纠纷和职业病纠纷）等业务活动及内部管理中的法律问题提供法律咨询意见，必要时协助医院现场处理相关法律事宜。</w:t>
      </w:r>
    </w:p>
    <w:p w14:paraId="036626A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一般咨询：口头或书面形式答复，1个工作日内出具法律意见书或咨询意见；</w:t>
      </w:r>
    </w:p>
    <w:p w14:paraId="2B3F884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紧急事项：涉及重大医疗纠纷、突发公共卫生事件等紧急情况，双方及时响应，及时协商确定具体时限。</w:t>
      </w:r>
    </w:p>
    <w:p w14:paraId="6C71554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重大事项合规审查：对医院“三重一大”事项（重大决策、重大项目、重要干部任免、大额资金使用）的合法性进行审查；对医院管理制度、员工手册、财务制度等规章文件进行合法合规性审查，提示潜在法律风险并提出改进建议。</w:t>
      </w:r>
    </w:p>
    <w:p w14:paraId="5EAE422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5.法律文件审查与拟定：对医院对外发布的公告、公示、声明、对外承诺等具有法律约束力的文件进行审查或拟订，一般情况48小时内出具审查意见，特殊情况不超过72小时。</w:t>
      </w:r>
    </w:p>
    <w:p w14:paraId="5CB47D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6.律师函出具</w:t>
      </w:r>
    </w:p>
    <w:p w14:paraId="05DEA19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（1）常规律师函：就医院运营中的各类纠纷，在合法合规前提下按要求出具并寄送律师函，24小时内拟定完成，经医院确认后2小时内寄出；</w:t>
      </w:r>
    </w:p>
    <w:p w14:paraId="382D298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（2）催款函出具：根据医院需求，为医院医疗欠费等事宜出具年度催款函，包含欠费主体核实、催款内容拟定、函件寄送等全流程服务，相关材料由医院配合提供，律所确保函件的合法性、专业性和有效性。</w:t>
      </w:r>
    </w:p>
    <w:p w14:paraId="663E770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7.伦理委员会相关工作：指派律师担任医院伦理委员会成员，按时参加伦理委员会会议，对会议审议议题提供专业法律意见，保障审议工作合法合规。</w:t>
      </w:r>
    </w:p>
    <w:p w14:paraId="4342F0E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8.行业法律信息服务：持续关注医疗行业、职业健康行业法律法规、政策规范的更新动态，及时向医院提供行业合规信息，从法律角度提出风险防范和运营优化建议。</w:t>
      </w:r>
    </w:p>
    <w:p w14:paraId="490F91B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9.新项目法律论证：对医院新开展技术项目的法律风险进行分析、论证，提供充分的法律依据和专业法律意见，助力新项目合法落地。</w:t>
      </w:r>
    </w:p>
    <w:p w14:paraId="6C55DE1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10.科研成果转化法律论证：对医院科研成果转化项目的法律风险进行分析、论证，提供充分的法律和专业法律意见，助力科研成果转化合法落地。</w:t>
      </w:r>
    </w:p>
    <w:p w14:paraId="11559FA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10.专项非诉讼法律服务：为医院重大医疗设备融资采购、医疗数据与临床试验合规、药品集采、建设工程履约、医疗广告、医疗刑事合规、第三方单位并购等事项提供合规审查及法律论证服务。</w:t>
      </w:r>
    </w:p>
    <w:p w14:paraId="5D8CB2D0">
      <w:pPr>
        <w:ind w:firstLine="640" w:firstLineChars="200"/>
        <w:rPr>
          <w:rFonts w:hint="eastAsia" w:ascii="华文楷体" w:hAnsi="华文楷体" w:eastAsia="华文楷体" w:cs="华文楷体"/>
          <w:sz w:val="32"/>
          <w:szCs w:val="32"/>
          <w:lang w:val="en-US" w:eastAsia="zh-CN"/>
        </w:rPr>
      </w:pPr>
      <w:r>
        <w:rPr>
          <w:rFonts w:hint="eastAsia" w:ascii="华文楷体" w:hAnsi="华文楷体" w:eastAsia="华文楷体" w:cs="华文楷体"/>
          <w:sz w:val="32"/>
          <w:szCs w:val="32"/>
          <w:lang w:val="en-US" w:eastAsia="zh-CN"/>
        </w:rPr>
        <w:t>（二）新海医院接收的法律服务，包括但不限于以下内容：</w:t>
      </w:r>
    </w:p>
    <w:p w14:paraId="147F9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1.参与合并方案设计与论证进行法律尽职调查，出具《法律尽职调查报告》。</w:t>
      </w:r>
    </w:p>
    <w:p w14:paraId="620E737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包括：（1）目标医院主体资格与历史沿革的调查：调查目标医院的设立、变更、存续状态，出资情况，上级主管单位情况。（2）资产与财务状况：调查目标医院的固定资产、无形资产（土地使用权、房屋产权、专利、商标、医疗技术等）、债权债务、重大合同、对外投资、担保情况、财务报表真实性等。（3）业务与资质： 调查目标医院的执业许可证、诊疗科目、专科特色、医疗技术水平、重大医疗纠纷、医保定点资格、科研教学情况等。（4）劳动人事：调查目标医院的人员构成、劳动合同签订情况、工资福利、社会保险、住房公积金、离退休人员安置、核心技术人员稳定性等。（5）重大合同与诉讼仲裁：调查目标医院正在履行或将要履行的重大合同（如采购合同、服务合同、租赁合同等），以及是否存在未了结的或可预见的重大诉讼、仲裁、行政处罚或潜在法律纠纷。（6）合规性：调查目标医院在医疗执业、药品器械管理、医保基金使用、环保、消防、税务等方面的合规情况。（7）知识产权：调查目标医院拥有的专利、商标、著作权、医疗技术秘密等知识产权的归属、保护状况及价值。（8）债权债务：核查目标医院的债权债务情况，重点关注是否存在或有负债、隐性债务。（9）关联交易：调查目标医院与其关联方之间的交易情况。(10)税务：调查目标医院的税务登记、纳税申报、税款缴纳情况，是否存在税务风险。（11）其他：根据项目具体情况和贵院要求，对其他相关事项进行调查。</w:t>
      </w:r>
    </w:p>
    <w:p w14:paraId="6D3699F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2.参与合并谈判、起草、审核与修改合并协议及相关文件、合并实施与交割阶段。</w:t>
      </w:r>
    </w:p>
    <w:p w14:paraId="50EDCB0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3.协助办理审批与登记手续：协助资产交割与权属变更、协助资产交割与权属变更、协助人员安置与劳动合同处理：协助债权债务处理与通知：合并后整合阶段法律支持。</w:t>
      </w:r>
    </w:p>
    <w:p w14:paraId="45761C9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4.协助完善内部治理结构：根据接收后的组织形式，协助医院建立健全议事规则、内部管理制度。</w:t>
      </w:r>
    </w:p>
    <w:p w14:paraId="5F5FEBA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5.协助处理遗留法律问题：协助贵院处理合并后可能出现的与目标医院相关的遗留法律问题。</w:t>
      </w:r>
    </w:p>
    <w:p w14:paraId="15241D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6.持续合规咨询：就接收后医院运营过程中的合规问题提供法律咨询意见。</w:t>
      </w:r>
    </w:p>
    <w:p w14:paraId="3DDD2353">
      <w:pPr>
        <w:ind w:firstLine="643" w:firstLineChars="200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上述工作费用根据工作量情况视情另行商议。</w:t>
      </w:r>
    </w:p>
    <w:p w14:paraId="37A0015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因法律纠纷需委托律师处理诉讼/仲裁事宜，或需委托专项法律服务的，在同等条件下，中标律所享有优先委托权；相关服务收费按广东省发改委、司法厅相关收费标准下浮20%执行，其中医疗纠纷案件一审律师费上限35000元/件，二审律师费上限12500元/件，具体另行签订委托协议。</w:t>
      </w:r>
    </w:p>
    <w:p w14:paraId="639AACDF"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三、服务方式要求</w:t>
      </w:r>
    </w:p>
    <w:p w14:paraId="18CBD49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日常法律服务以电话、微信群、电子邮件为主要沟通方式，中标律所应按招标人要求及时响应；必要时，中标律所律师应按招标人通知，在工作时间3小时内到达招标人指定场所提供现场服务，招标人提供必要的办公条件。</w:t>
      </w:r>
    </w:p>
    <w:p w14:paraId="0ACB2B0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2.中标律所应建立法律服务台账，对所有服务事项（含咨询、合同审查、函件出具、培训等）进行详细记录，每季度向招标人提交服务工作报告，年度提交服务总结报告，配合招标人完成年度服务考核。</w:t>
      </w:r>
    </w:p>
    <w:p w14:paraId="3E2C4F8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对招标人提供的原始证据、法律文件及商业秘密，中标律所应履行严格的保密义务，不得泄露、复制或向第三方提供，保密义务不因合同终止而失效。</w:t>
      </w:r>
    </w:p>
    <w:p w14:paraId="71DF72CE"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四、年度服务考核与合同续签/终止</w:t>
      </w:r>
    </w:p>
    <w:p w14:paraId="361796D3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（一）年度服务考核</w:t>
      </w:r>
    </w:p>
    <w:p w14:paraId="231201F6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每年服务期满前30个工作日，招标人组织开展年度服务考核，考核内容包括需求响应效率、服务专业性、工作完成质量、沟通配合度等，考核结果分为合格和不合格，考核结果书面通知中标律所。</w:t>
      </w:r>
    </w:p>
    <w:p w14:paraId="0ADA78E5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（二）合同续签</w:t>
      </w:r>
    </w:p>
    <w:p w14:paraId="410ACFCE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年度考核合格的，双方在收到考核结果后15个工作日内，续签下一年度法律顾问服务合同；考核不合格的，招标人有权不予续签，本年度服务合同期满后，本项目服务关系自动终止。</w:t>
      </w:r>
    </w:p>
    <w:p w14:paraId="4D3ACE05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（三）即时终止情形</w:t>
      </w:r>
    </w:p>
    <w:p w14:paraId="32953889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服务期内，中标律所如出现下列情形之一的，招标人有权立即终止本年度服务合同，且不再续签后续年度合同，同时有权要求中标律所赔偿因此给招标人造成的全部经济损失：</w:t>
      </w:r>
    </w:p>
    <w:p w14:paraId="2E5218AC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1.泄露招标人商业秘密、患者隐私，造成恶劣影响或经济损失的；</w:t>
      </w:r>
    </w:p>
    <w:p w14:paraId="09FBFDA6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2.出具错误法律意见、存在重大执业过失，导致招标人遭受行政处罚、诉讼败诉、经济损失或名誉损害的；</w:t>
      </w:r>
    </w:p>
    <w:p w14:paraId="351AAF43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3.未按约定响应服务需求，累计3次及以上逾期答复、无故拒绝提供服务或未按标准完成服务事项的；</w:t>
      </w:r>
    </w:p>
    <w:p w14:paraId="36277DD0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4.擅自更换核心服务团队成员、团队人员配置不足，影响服务质量且未按招标人要求整改的；</w:t>
      </w:r>
    </w:p>
    <w:p w14:paraId="6F653865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5.存在违反法律法规、律师执业道德、本需求书约定或服务合同条款的其他严重情形的。</w:t>
      </w:r>
    </w:p>
    <w:p w14:paraId="22519B7F"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五、响应文件需包括但不限于以下资料</w:t>
      </w:r>
    </w:p>
    <w:p w14:paraId="598ED94A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1.投标人须为依据《中华人民共和国律师法》依法设立的合伙制或特殊的普通合伙制律师事务所，具有独立法人资格，持有有效的执业许可证。</w:t>
      </w:r>
    </w:p>
    <w:p w14:paraId="2EAD9549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2.投标人应具备完善的服务体系和专业的律师团队，团队核心成员具有医疗行业法律服务经验，无不良执业记录。</w:t>
      </w:r>
    </w:p>
    <w:p w14:paraId="601E7D18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3.投标人近3年（自招标公告发布之日起倒推）未被司法行政部门处罚，未列入失信被执行人名单，无重大法律服务纠纷及投诉记录。</w:t>
      </w:r>
    </w:p>
    <w:p w14:paraId="0F18AC4A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4.投标人具有良好的商业信誉和健全的财务会计制度的证明文件：提供2025年度财务状况报告或2026年内任意一个月财务状况报告或基本开户行出具的资信证明</w:t>
      </w:r>
    </w:p>
    <w:p w14:paraId="3845535C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5.根据我院采购需求制定的工作服务方案、服务质量保证方案及措施;</w:t>
      </w:r>
    </w:p>
    <w:p w14:paraId="663B8B6F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6.业绩情况：自2023年1月1日以来（以合同签订时间为准）承接同类业绩项目经验及用户满意度评价。（不超过五项，提供合同关键页或成交通知书复印件即可）；</w:t>
      </w:r>
    </w:p>
    <w:p w14:paraId="610496E6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7.项目报价。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</w:t>
      </w:r>
    </w:p>
    <w:p w14:paraId="52F0B31C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8.本项目不接受联合体投标，不允许分包、转包。</w:t>
      </w:r>
    </w:p>
    <w:p w14:paraId="253499F5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984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246C21"/>
    <w:rsid w:val="10455D10"/>
    <w:rsid w:val="24942439"/>
    <w:rsid w:val="29933366"/>
    <w:rsid w:val="2B91474D"/>
    <w:rsid w:val="3B246C21"/>
    <w:rsid w:val="4AA976AE"/>
    <w:rsid w:val="508431E3"/>
    <w:rsid w:val="557A1E5A"/>
    <w:rsid w:val="66B9305E"/>
    <w:rsid w:val="710F07BF"/>
    <w:rsid w:val="7EFD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Compact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3603</Words>
  <Characters>3671</Characters>
  <Lines>0</Lines>
  <Paragraphs>0</Paragraphs>
  <TotalTime>6</TotalTime>
  <ScaleCrop>false</ScaleCrop>
  <LinksUpToDate>false</LinksUpToDate>
  <CharactersWithSpaces>3688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2026-07-24T06:56:00Z</dcterms:created>
  <dc:creator>yan</dc:creator>
  <cp:lastModifiedBy>谭绍东</cp:lastModifiedBy>
  <dcterms:modified xsi:type="dcterms:W3CDTF">2026-08-27T00:24:05Z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A29CB4D4BD2246F5915D7E36C3E30DFD_13</vt:lpwstr>
  </property>
  <property fmtid="{D5CDD505-2E9C-101B-9397-08002B2CF9AE}" pid="4" name="KSOTemplateDocerSaveRecord">
    <vt:lpwstr>eyJoZGlkIjoiMzk2MjIzMTc2YTQ5NDJkZmM4OWUxMTRkNTE3NzI1NjgiLCJ1c2VySWQiOiIxNzY2NDM2NzM5In0=</vt:lpwstr>
  </property>
</Properties>
</file>