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7AE21D">
      <w:pPr>
        <w:spacing w:line="276" w:lineRule="auto"/>
        <w:ind w:left="-141" w:leftChars="-67"/>
        <w:jc w:val="center"/>
        <w:rPr>
          <w:rFonts w:hint="default" w:ascii="Times New Roman" w:hAnsi="Times New Roman" w:eastAsia="宋体" w:cs="Times New Roman"/>
          <w:b/>
          <w:color w:val="000000" w:themeColor="text1"/>
          <w:kern w:val="0"/>
          <w:sz w:val="24"/>
          <w:szCs w:val="24"/>
          <w:lang w:val="en-US" w:eastAsia="zh-CN"/>
          <w14:textFill>
            <w14:solidFill>
              <w14:schemeClr w14:val="tx1"/>
            </w14:solidFill>
          </w14:textFill>
        </w:rPr>
      </w:pPr>
      <w:r>
        <w:rPr>
          <w:rFonts w:hint="eastAsia" w:ascii="Times New Roman" w:hAnsi="Times New Roman" w:eastAsia="宋体" w:cs="Times New Roman"/>
          <w:b/>
          <w:color w:val="000000" w:themeColor="text1"/>
          <w:kern w:val="0"/>
          <w:sz w:val="24"/>
          <w:szCs w:val="24"/>
          <w:lang w:val="en-US" w:eastAsia="zh-CN"/>
          <w14:textFill>
            <w14:solidFill>
              <w14:schemeClr w14:val="tx1"/>
            </w14:solidFill>
          </w14:textFill>
        </w:rPr>
        <w:t>包组1 低速冷冻离心机</w:t>
      </w:r>
      <w:r>
        <w:rPr>
          <w:rFonts w:ascii="Times New Roman" w:hAnsi="Times New Roman" w:eastAsia="宋体" w:cs="Times New Roman"/>
          <w:b/>
          <w:color w:val="000000" w:themeColor="text1"/>
          <w:kern w:val="0"/>
          <w:sz w:val="24"/>
          <w:szCs w:val="24"/>
          <w14:textFill>
            <w14:solidFill>
              <w14:schemeClr w14:val="tx1"/>
            </w14:solidFill>
          </w14:textFill>
        </w:rPr>
        <w:t xml:space="preserve"> </w:t>
      </w:r>
      <w:r>
        <w:rPr>
          <w:rFonts w:hint="eastAsia" w:ascii="Times New Roman" w:hAnsi="Times New Roman" w:eastAsia="宋体" w:cs="Times New Roman"/>
          <w:b/>
          <w:color w:val="000000" w:themeColor="text1"/>
          <w:kern w:val="0"/>
          <w:sz w:val="24"/>
          <w:szCs w:val="24"/>
          <w:lang w:val="en-US" w:eastAsia="zh-CN"/>
          <w14:textFill>
            <w14:solidFill>
              <w14:schemeClr w14:val="tx1"/>
            </w14:solidFill>
          </w14:textFill>
        </w:rPr>
        <w:t>1台 限价4.5万元</w:t>
      </w:r>
    </w:p>
    <w:p w14:paraId="06E64F12">
      <w:pPr>
        <w:numPr>
          <w:ilvl w:val="0"/>
          <w:numId w:val="0"/>
        </w:numPr>
        <w:spacing w:line="276" w:lineRule="auto"/>
        <w:ind w:left="-141" w:leftChars="-67"/>
        <w:jc w:val="left"/>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一、</w:t>
      </w:r>
      <w:r>
        <w:rPr>
          <w:rFonts w:hint="eastAsia" w:ascii="Times New Roman" w:hAnsi="Times New Roman" w:eastAsia="宋体" w:cs="Times New Roman"/>
          <w:b/>
          <w:color w:val="000000" w:themeColor="text1"/>
          <w:kern w:val="0"/>
          <w:sz w:val="24"/>
          <w:szCs w:val="24"/>
          <w:lang w:val="en-US" w:eastAsia="zh-CN"/>
          <w14:textFill>
            <w14:solidFill>
              <w14:schemeClr w14:val="tx1"/>
            </w14:solidFill>
          </w14:textFill>
        </w:rPr>
        <w:t xml:space="preserve">基本要求  </w:t>
      </w:r>
    </w:p>
    <w:p w14:paraId="4D2DB087">
      <w:pPr>
        <w:numPr>
          <w:ilvl w:val="0"/>
          <w:numId w:val="0"/>
        </w:numPr>
        <w:spacing w:line="276" w:lineRule="auto"/>
        <w:jc w:val="left"/>
        <w:rPr>
          <w:rFonts w:hint="eastAsia"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1、</w:t>
      </w:r>
      <w:r>
        <w:rPr>
          <w:rFonts w:hint="eastAsia" w:ascii="Times New Roman" w:hAnsi="Times New Roman" w:eastAsia="宋体" w:cs="Times New Roman"/>
          <w:color w:val="000000" w:themeColor="text1"/>
          <w:szCs w:val="21"/>
          <w:lang w:val="en-US" w:eastAsia="zh-CN"/>
          <w14:textFill>
            <w14:solidFill>
              <w14:schemeClr w14:val="tx1"/>
            </w14:solidFill>
          </w14:textFill>
        </w:rPr>
        <w:t xml:space="preserve">名称：低速冷冻离心机 </w:t>
      </w:r>
    </w:p>
    <w:p w14:paraId="13F16E62">
      <w:pPr>
        <w:numPr>
          <w:ilvl w:val="0"/>
          <w:numId w:val="0"/>
        </w:numPr>
        <w:spacing w:line="276" w:lineRule="auto"/>
        <w:jc w:val="left"/>
        <w:rPr>
          <w:rFonts w:hint="eastAsia"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2、</w:t>
      </w:r>
      <w:r>
        <w:rPr>
          <w:rFonts w:hint="eastAsia" w:ascii="Times New Roman" w:hAnsi="Times New Roman" w:eastAsia="宋体" w:cs="Times New Roman"/>
          <w:color w:val="000000" w:themeColor="text1"/>
          <w:szCs w:val="21"/>
          <w:lang w:val="en-US" w:eastAsia="zh-CN"/>
          <w14:textFill>
            <w14:solidFill>
              <w14:schemeClr w14:val="tx1"/>
            </w14:solidFill>
          </w14:textFill>
        </w:rPr>
        <w:t>数量：1台</w:t>
      </w:r>
    </w:p>
    <w:p w14:paraId="614B203D">
      <w:pPr>
        <w:numPr>
          <w:ilvl w:val="0"/>
          <w:numId w:val="0"/>
        </w:numPr>
        <w:spacing w:line="276" w:lineRule="auto"/>
        <w:jc w:val="left"/>
        <w:rPr>
          <w:rFonts w:hint="eastAsia"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3、用途：用于离心制备富血小板血浆、浓缩生长因子等</w:t>
      </w:r>
    </w:p>
    <w:p w14:paraId="1449B61B">
      <w:pPr>
        <w:numPr>
          <w:ilvl w:val="0"/>
          <w:numId w:val="0"/>
        </w:numPr>
        <w:spacing w:line="276" w:lineRule="auto"/>
        <w:jc w:val="left"/>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4</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w:t>
      </w: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货期：签订合同一个月内</w:t>
      </w:r>
    </w:p>
    <w:p w14:paraId="115D049A">
      <w:pPr>
        <w:spacing w:line="276" w:lineRule="auto"/>
        <w:ind w:left="-141" w:leftChars="-67"/>
        <w:jc w:val="left"/>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二、主要技术要求（达到或优于）</w:t>
      </w:r>
    </w:p>
    <w:p w14:paraId="7DFF038E">
      <w:pPr>
        <w:numPr>
          <w:ilvl w:val="0"/>
          <w:numId w:val="0"/>
        </w:numPr>
        <w:spacing w:line="276" w:lineRule="auto"/>
        <w:ind w:firstLine="210" w:firstLineChars="100"/>
        <w:jc w:val="left"/>
        <w:rPr>
          <w:rFonts w:hint="eastAsia"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1、交流变频无刷电机驱动，免维护，配备霍尔测速模块；</w:t>
      </w:r>
    </w:p>
    <w:p w14:paraId="58A6721B">
      <w:pPr>
        <w:numPr>
          <w:ilvl w:val="0"/>
          <w:numId w:val="0"/>
        </w:numPr>
        <w:spacing w:line="276" w:lineRule="auto"/>
        <w:ind w:firstLine="210" w:firstLineChars="100"/>
        <w:jc w:val="left"/>
        <w:rPr>
          <w:rFonts w:hint="eastAsia"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2、微机变频控制系统，数字液晶显示运行状态实际数值、进展指标；</w:t>
      </w:r>
    </w:p>
    <w:p w14:paraId="54C428AC">
      <w:pPr>
        <w:numPr>
          <w:ilvl w:val="0"/>
          <w:numId w:val="0"/>
        </w:numPr>
        <w:spacing w:line="276" w:lineRule="auto"/>
        <w:ind w:firstLine="210" w:firstLineChars="100"/>
        <w:jc w:val="left"/>
        <w:rPr>
          <w:rFonts w:hint="eastAsia"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3、≥7寸高清触摸屏，中英文界面切换、具有屏幕密码保护功能；</w:t>
      </w:r>
    </w:p>
    <w:p w14:paraId="209A67A0">
      <w:pPr>
        <w:numPr>
          <w:ilvl w:val="0"/>
          <w:numId w:val="0"/>
        </w:numPr>
        <w:spacing w:line="276" w:lineRule="auto"/>
        <w:jc w:val="left"/>
        <w:rPr>
          <w:rFonts w:hint="eastAsia"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zh-CN" w:eastAsia="zh-CN"/>
          <w14:textFill>
            <w14:solidFill>
              <w14:schemeClr w14:val="tx1"/>
            </w14:solidFill>
          </w14:textFill>
        </w:rPr>
        <w:t>▲</w:t>
      </w:r>
      <w:r>
        <w:rPr>
          <w:rFonts w:hint="eastAsia" w:ascii="Times New Roman" w:hAnsi="Times New Roman" w:eastAsia="宋体" w:cs="Times New Roman"/>
          <w:color w:val="000000" w:themeColor="text1"/>
          <w:szCs w:val="21"/>
          <w:lang w:val="en-US" w:eastAsia="zh-CN"/>
          <w14:textFill>
            <w14:solidFill>
              <w14:schemeClr w14:val="tx1"/>
            </w14:solidFill>
          </w14:textFill>
        </w:rPr>
        <w:t>4、≥99组用户自定义程序(≥10个预设程序组合)；</w:t>
      </w:r>
    </w:p>
    <w:p w14:paraId="6E06B856">
      <w:pPr>
        <w:numPr>
          <w:ilvl w:val="0"/>
          <w:numId w:val="0"/>
        </w:numPr>
        <w:spacing w:line="276" w:lineRule="auto"/>
        <w:ind w:firstLine="210" w:firstLineChars="100"/>
        <w:jc w:val="left"/>
        <w:rPr>
          <w:rFonts w:hint="eastAsia"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5、≥15档加减速、软刹车功能，防止样品重悬；</w:t>
      </w:r>
    </w:p>
    <w:p w14:paraId="48834403">
      <w:pPr>
        <w:numPr>
          <w:ilvl w:val="0"/>
          <w:numId w:val="0"/>
        </w:numPr>
        <w:spacing w:line="276" w:lineRule="auto"/>
        <w:jc w:val="left"/>
        <w:rPr>
          <w:rFonts w:hint="eastAsia"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zh-CN" w:eastAsia="zh-CN"/>
          <w14:textFill>
            <w14:solidFill>
              <w14:schemeClr w14:val="tx1"/>
            </w14:solidFill>
          </w14:textFill>
        </w:rPr>
        <w:t>▲</w:t>
      </w:r>
      <w:r>
        <w:rPr>
          <w:rFonts w:hint="eastAsia" w:ascii="Times New Roman" w:hAnsi="Times New Roman" w:eastAsia="宋体" w:cs="Times New Roman"/>
          <w:color w:val="000000" w:themeColor="text1"/>
          <w:szCs w:val="21"/>
          <w:lang w:val="en-US" w:eastAsia="zh-CN"/>
          <w14:textFill>
            <w14:solidFill>
              <w14:schemeClr w14:val="tx1"/>
            </w14:solidFill>
          </w14:textFill>
        </w:rPr>
        <w:t>6、制冷加热双回路设计，制冷速度7分钟可达4℃；</w:t>
      </w:r>
    </w:p>
    <w:p w14:paraId="7E7C06B1">
      <w:pPr>
        <w:numPr>
          <w:ilvl w:val="0"/>
          <w:numId w:val="0"/>
        </w:numPr>
        <w:spacing w:line="276" w:lineRule="auto"/>
        <w:ind w:firstLine="210" w:firstLineChars="100"/>
        <w:jc w:val="left"/>
        <w:rPr>
          <w:rFonts w:hint="eastAsia"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7、定时计时功能，启动计时或达到预定转速后再倒计时；</w:t>
      </w:r>
    </w:p>
    <w:p w14:paraId="417C64A3">
      <w:pPr>
        <w:numPr>
          <w:ilvl w:val="0"/>
          <w:numId w:val="0"/>
        </w:numPr>
        <w:spacing w:line="276" w:lineRule="auto"/>
        <w:ind w:firstLine="210" w:firstLineChars="100"/>
        <w:jc w:val="left"/>
        <w:rPr>
          <w:rFonts w:hint="eastAsia"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8、离心内腔采用不锈钢316材料，不产生浮锈；</w:t>
      </w:r>
    </w:p>
    <w:p w14:paraId="55160C42">
      <w:pPr>
        <w:numPr>
          <w:ilvl w:val="0"/>
          <w:numId w:val="0"/>
        </w:numPr>
        <w:spacing w:line="276" w:lineRule="auto"/>
        <w:ind w:firstLine="210" w:firstLineChars="100"/>
        <w:jc w:val="left"/>
        <w:rPr>
          <w:rFonts w:hint="eastAsia"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9、专用的适配器和脱帽器，运行中可有效防止交叉感染、溅血及碎管等问题；</w:t>
      </w:r>
    </w:p>
    <w:p w14:paraId="0063795E">
      <w:pPr>
        <w:numPr>
          <w:ilvl w:val="0"/>
          <w:numId w:val="0"/>
        </w:numPr>
        <w:spacing w:line="276" w:lineRule="auto"/>
        <w:jc w:val="left"/>
        <w:rPr>
          <w:rFonts w:hint="eastAsia"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zh-CN" w:eastAsia="zh-CN"/>
          <w14:textFill>
            <w14:solidFill>
              <w14:schemeClr w14:val="tx1"/>
            </w14:solidFill>
          </w14:textFill>
        </w:rPr>
        <w:t>▲</w:t>
      </w:r>
      <w:r>
        <w:rPr>
          <w:rFonts w:hint="eastAsia" w:ascii="Times New Roman" w:hAnsi="Times New Roman" w:eastAsia="宋体" w:cs="Times New Roman"/>
          <w:color w:val="000000" w:themeColor="text1"/>
          <w:szCs w:val="21"/>
          <w:lang w:val="en-US" w:eastAsia="zh-CN"/>
          <w14:textFill>
            <w14:solidFill>
              <w14:schemeClr w14:val="tx1"/>
            </w14:solidFill>
          </w14:textFill>
        </w:rPr>
        <w:t>10、有ECO自动启停功能，控温精准，节能环保；</w:t>
      </w:r>
    </w:p>
    <w:p w14:paraId="00269420">
      <w:pPr>
        <w:numPr>
          <w:ilvl w:val="0"/>
          <w:numId w:val="0"/>
        </w:numPr>
        <w:spacing w:line="276" w:lineRule="auto"/>
        <w:ind w:firstLine="210" w:firstLineChars="100"/>
        <w:jc w:val="left"/>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11、运行中可随时更改参数(rpm/rcf),无需停机；</w:t>
      </w:r>
    </w:p>
    <w:p w14:paraId="7211B21B">
      <w:pPr>
        <w:numPr>
          <w:ilvl w:val="0"/>
          <w:numId w:val="0"/>
        </w:numPr>
        <w:spacing w:line="276" w:lineRule="auto"/>
        <w:ind w:firstLine="210" w:firstLineChars="100"/>
        <w:jc w:val="left"/>
        <w:rPr>
          <w:rFonts w:hint="eastAsia"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12、微动马达双吸入式电子门锁，确保机器运行安全；</w:t>
      </w:r>
    </w:p>
    <w:p w14:paraId="33C6ECCB">
      <w:pPr>
        <w:numPr>
          <w:ilvl w:val="0"/>
          <w:numId w:val="0"/>
        </w:numPr>
        <w:spacing w:line="276" w:lineRule="auto"/>
        <w:ind w:firstLine="210" w:firstLineChars="100"/>
        <w:jc w:val="left"/>
        <w:rPr>
          <w:rFonts w:hint="eastAsia"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12、离心结束后离心盖可以选择自动或手动打开，便于取放样品:</w:t>
      </w:r>
    </w:p>
    <w:p w14:paraId="66AE1774">
      <w:pPr>
        <w:numPr>
          <w:ilvl w:val="0"/>
          <w:numId w:val="0"/>
        </w:numPr>
        <w:spacing w:line="276" w:lineRule="auto"/>
        <w:ind w:firstLine="210" w:firstLineChars="100"/>
        <w:jc w:val="left"/>
        <w:rPr>
          <w:rFonts w:hint="eastAsia"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13、采用弹簧悬挂式平衡系统，不平衡量≥15克。</w:t>
      </w:r>
    </w:p>
    <w:p w14:paraId="5D953F37">
      <w:pPr>
        <w:numPr>
          <w:ilvl w:val="0"/>
          <w:numId w:val="0"/>
        </w:numPr>
        <w:spacing w:line="276" w:lineRule="auto"/>
        <w:jc w:val="left"/>
        <w:rPr>
          <w:rFonts w:hint="eastAsia"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zh-CN" w:eastAsia="zh-CN"/>
          <w14:textFill>
            <w14:solidFill>
              <w14:schemeClr w14:val="tx1"/>
            </w14:solidFill>
          </w14:textFill>
        </w:rPr>
        <w:t>▲</w:t>
      </w:r>
      <w:r>
        <w:rPr>
          <w:rFonts w:hint="eastAsia" w:ascii="Times New Roman" w:hAnsi="Times New Roman" w:eastAsia="宋体" w:cs="Times New Roman"/>
          <w:color w:val="000000" w:themeColor="text1"/>
          <w:szCs w:val="21"/>
          <w:lang w:val="en-US" w:eastAsia="zh-CN"/>
          <w14:textFill>
            <w14:solidFill>
              <w14:schemeClr w14:val="tx1"/>
            </w14:solidFill>
          </w14:textFill>
        </w:rPr>
        <w:t>14、内置冷凝水槽，避免冷凝水积聚，防止腐蚀。</w:t>
      </w:r>
    </w:p>
    <w:p w14:paraId="64E71E53">
      <w:pPr>
        <w:numPr>
          <w:ilvl w:val="0"/>
          <w:numId w:val="0"/>
        </w:numPr>
        <w:spacing w:line="276" w:lineRule="auto"/>
        <w:jc w:val="left"/>
        <w:rPr>
          <w:rFonts w:hint="eastAsia"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zh-CN" w:eastAsia="zh-CN"/>
          <w14:textFill>
            <w14:solidFill>
              <w14:schemeClr w14:val="tx1"/>
            </w14:solidFill>
          </w14:textFill>
        </w:rPr>
        <w:t>▲</w:t>
      </w:r>
      <w:r>
        <w:rPr>
          <w:rFonts w:hint="eastAsia" w:ascii="Times New Roman" w:hAnsi="Times New Roman" w:eastAsia="宋体" w:cs="Times New Roman"/>
          <w:color w:val="000000" w:themeColor="text1"/>
          <w:szCs w:val="21"/>
          <w:lang w:val="en-US" w:eastAsia="zh-CN"/>
          <w14:textFill>
            <w14:solidFill>
              <w14:schemeClr w14:val="tx1"/>
            </w14:solidFill>
          </w14:textFill>
        </w:rPr>
        <w:t>15、最高转速≥6000rpm</w:t>
      </w:r>
    </w:p>
    <w:p w14:paraId="41977607">
      <w:pPr>
        <w:numPr>
          <w:ilvl w:val="0"/>
          <w:numId w:val="0"/>
        </w:numPr>
        <w:spacing w:line="276" w:lineRule="auto"/>
        <w:ind w:firstLine="210" w:firstLineChars="100"/>
        <w:jc w:val="left"/>
        <w:rPr>
          <w:rFonts w:hint="eastAsia"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16、最大相对离心力≥5140×g</w:t>
      </w:r>
    </w:p>
    <w:p w14:paraId="6CBA4C13">
      <w:pPr>
        <w:numPr>
          <w:ilvl w:val="0"/>
          <w:numId w:val="0"/>
        </w:numPr>
        <w:spacing w:line="276" w:lineRule="auto"/>
        <w:ind w:firstLine="210" w:firstLineChars="100"/>
        <w:jc w:val="left"/>
        <w:rPr>
          <w:rFonts w:hint="eastAsia"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17、温控范围-20℃～40℃±1℃</w:t>
      </w:r>
    </w:p>
    <w:p w14:paraId="79ED8506">
      <w:pPr>
        <w:numPr>
          <w:ilvl w:val="0"/>
          <w:numId w:val="0"/>
        </w:numPr>
        <w:spacing w:line="276" w:lineRule="auto"/>
        <w:ind w:firstLine="210" w:firstLineChars="100"/>
        <w:jc w:val="left"/>
        <w:rPr>
          <w:rFonts w:hint="eastAsia"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18、噪音≤60dB（A）</w:t>
      </w:r>
    </w:p>
    <w:p w14:paraId="5C4C7AA7">
      <w:pPr>
        <w:numPr>
          <w:ilvl w:val="0"/>
          <w:numId w:val="0"/>
        </w:numPr>
        <w:spacing w:line="276" w:lineRule="auto"/>
        <w:ind w:firstLine="210" w:firstLineChars="100"/>
        <w:jc w:val="left"/>
        <w:rPr>
          <w:rFonts w:hint="eastAsia"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19、外形尺寸≤70×63×37cm</w:t>
      </w:r>
    </w:p>
    <w:p w14:paraId="7FFDCB3F">
      <w:pPr>
        <w:numPr>
          <w:ilvl w:val="0"/>
          <w:numId w:val="0"/>
        </w:numPr>
        <w:spacing w:line="276" w:lineRule="auto"/>
        <w:ind w:firstLine="210" w:firstLineChars="100"/>
        <w:jc w:val="left"/>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20、</w:t>
      </w:r>
      <w:r>
        <w:rPr>
          <w:rFonts w:hint="default" w:ascii="Times New Roman" w:hAnsi="Times New Roman" w:eastAsia="宋体" w:cs="Times New Roman"/>
          <w:color w:val="000000" w:themeColor="text1"/>
          <w:szCs w:val="21"/>
          <w:lang w:val="en-US" w:eastAsia="zh-CN"/>
          <w14:textFill>
            <w14:solidFill>
              <w14:schemeClr w14:val="tx1"/>
            </w14:solidFill>
          </w14:textFill>
        </w:rPr>
        <w:t>配置15ml×16 支，50ml×8 支</w:t>
      </w:r>
    </w:p>
    <w:p w14:paraId="6E03E555">
      <w:pPr>
        <w:numPr>
          <w:ilvl w:val="0"/>
          <w:numId w:val="0"/>
        </w:numPr>
        <w:spacing w:line="276" w:lineRule="auto"/>
        <w:ind w:firstLine="210" w:firstLineChars="100"/>
        <w:jc w:val="left"/>
        <w:rPr>
          <w:rFonts w:hint="eastAsia"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color w:val="000000" w:themeColor="text1"/>
          <w:szCs w:val="21"/>
          <w:lang w:val="en-US" w:eastAsia="zh-CN"/>
          <w14:textFill>
            <w14:solidFill>
              <w14:schemeClr w14:val="tx1"/>
            </w14:solidFill>
          </w14:textFill>
        </w:rPr>
        <w:t>配置清单</w:t>
      </w:r>
      <w:r>
        <w:rPr>
          <w:rFonts w:hint="eastAsia" w:ascii="Times New Roman" w:hAnsi="Times New Roman" w:eastAsia="宋体" w:cs="Times New Roman"/>
          <w:color w:val="000000" w:themeColor="text1"/>
          <w:szCs w:val="21"/>
          <w:lang w:val="en-US" w:eastAsia="zh-CN"/>
          <w14:textFill>
            <w14:solidFill>
              <w14:schemeClr w14:val="tx1"/>
            </w14:solidFill>
          </w14:textFill>
        </w:rPr>
        <w:t>需包含但不限于：</w:t>
      </w:r>
    </w:p>
    <w:tbl>
      <w:tblPr>
        <w:tblStyle w:val="7"/>
        <w:tblW w:w="8197" w:type="dxa"/>
        <w:jc w:val="center"/>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760"/>
        <w:gridCol w:w="2268"/>
        <w:gridCol w:w="2062"/>
        <w:gridCol w:w="937"/>
        <w:gridCol w:w="765"/>
        <w:gridCol w:w="1405"/>
      </w:tblGrid>
      <w:tr w14:paraId="0E6D1B9C">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394" w:hRule="atLeast"/>
          <w:jc w:val="center"/>
        </w:trPr>
        <w:tc>
          <w:tcPr>
            <w:tcW w:w="760" w:type="dxa"/>
            <w:tcBorders>
              <w:top w:val="single" w:color="auto" w:sz="4" w:space="0"/>
              <w:left w:val="single" w:color="auto" w:sz="4" w:space="0"/>
              <w:bottom w:val="single" w:color="auto" w:sz="4" w:space="0"/>
              <w:right w:val="single" w:color="auto" w:sz="4" w:space="0"/>
            </w:tcBorders>
            <w:vAlign w:val="center"/>
          </w:tcPr>
          <w:p w14:paraId="7D733514">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Cs w:val="21"/>
              </w:rPr>
            </w:pPr>
            <w:r>
              <w:rPr>
                <w:rFonts w:hint="eastAsia" w:ascii="宋体" w:hAnsi="宋体" w:eastAsia="宋体" w:cs="宋体"/>
                <w:szCs w:val="21"/>
              </w:rPr>
              <w:t>序号</w:t>
            </w:r>
          </w:p>
        </w:tc>
        <w:tc>
          <w:tcPr>
            <w:tcW w:w="2268" w:type="dxa"/>
            <w:tcBorders>
              <w:top w:val="single" w:color="auto" w:sz="4" w:space="0"/>
              <w:left w:val="single" w:color="auto" w:sz="4" w:space="0"/>
              <w:bottom w:val="single" w:color="auto" w:sz="4" w:space="0"/>
              <w:right w:val="single" w:color="auto" w:sz="4" w:space="0"/>
            </w:tcBorders>
            <w:vAlign w:val="center"/>
          </w:tcPr>
          <w:p w14:paraId="64276AA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Cs w:val="21"/>
              </w:rPr>
            </w:pPr>
            <w:r>
              <w:rPr>
                <w:rFonts w:hint="eastAsia" w:ascii="宋体" w:hAnsi="宋体" w:eastAsia="宋体" w:cs="宋体"/>
                <w:szCs w:val="21"/>
              </w:rPr>
              <w:t>名称</w:t>
            </w:r>
          </w:p>
        </w:tc>
        <w:tc>
          <w:tcPr>
            <w:tcW w:w="2062" w:type="dxa"/>
            <w:tcBorders>
              <w:top w:val="single" w:color="auto" w:sz="4" w:space="0"/>
              <w:left w:val="single" w:color="auto" w:sz="4" w:space="0"/>
              <w:bottom w:val="single" w:color="auto" w:sz="4" w:space="0"/>
              <w:right w:val="single" w:color="auto" w:sz="4" w:space="0"/>
            </w:tcBorders>
            <w:vAlign w:val="center"/>
          </w:tcPr>
          <w:p w14:paraId="0AD91FB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规格</w:t>
            </w:r>
          </w:p>
        </w:tc>
        <w:tc>
          <w:tcPr>
            <w:tcW w:w="937" w:type="dxa"/>
            <w:tcBorders>
              <w:top w:val="single" w:color="auto" w:sz="4" w:space="0"/>
              <w:left w:val="single" w:color="auto" w:sz="4" w:space="0"/>
              <w:bottom w:val="single" w:color="auto" w:sz="4" w:space="0"/>
              <w:right w:val="single" w:color="auto" w:sz="4" w:space="0"/>
            </w:tcBorders>
            <w:vAlign w:val="center"/>
          </w:tcPr>
          <w:p w14:paraId="31CD40C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Cs w:val="21"/>
              </w:rPr>
            </w:pPr>
            <w:r>
              <w:rPr>
                <w:rFonts w:hint="eastAsia" w:ascii="宋体" w:hAnsi="宋体" w:eastAsia="宋体" w:cs="宋体"/>
                <w:szCs w:val="21"/>
              </w:rPr>
              <w:t>数量</w:t>
            </w:r>
          </w:p>
        </w:tc>
        <w:tc>
          <w:tcPr>
            <w:tcW w:w="765" w:type="dxa"/>
            <w:tcBorders>
              <w:top w:val="single" w:color="auto" w:sz="4" w:space="0"/>
              <w:left w:val="single" w:color="auto" w:sz="4" w:space="0"/>
              <w:bottom w:val="single" w:color="auto" w:sz="4" w:space="0"/>
              <w:right w:val="single" w:color="auto" w:sz="4" w:space="0"/>
            </w:tcBorders>
            <w:vAlign w:val="center"/>
          </w:tcPr>
          <w:p w14:paraId="0DC76D2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Cs w:val="21"/>
              </w:rPr>
            </w:pPr>
            <w:r>
              <w:rPr>
                <w:rFonts w:hint="eastAsia" w:ascii="宋体" w:hAnsi="宋体" w:eastAsia="宋体" w:cs="宋体"/>
                <w:szCs w:val="21"/>
              </w:rPr>
              <w:t>单位</w:t>
            </w:r>
          </w:p>
        </w:tc>
        <w:tc>
          <w:tcPr>
            <w:tcW w:w="1405" w:type="dxa"/>
            <w:tcBorders>
              <w:top w:val="single" w:color="auto" w:sz="4" w:space="0"/>
              <w:left w:val="single" w:color="auto" w:sz="4" w:space="0"/>
              <w:bottom w:val="single" w:color="auto" w:sz="4" w:space="0"/>
              <w:right w:val="single" w:color="auto" w:sz="4" w:space="0"/>
            </w:tcBorders>
            <w:vAlign w:val="center"/>
          </w:tcPr>
          <w:p w14:paraId="447C3BF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Cs w:val="21"/>
              </w:rPr>
            </w:pPr>
            <w:r>
              <w:rPr>
                <w:rFonts w:hint="eastAsia" w:ascii="宋体" w:hAnsi="宋体" w:eastAsia="宋体" w:cs="宋体"/>
                <w:szCs w:val="21"/>
              </w:rPr>
              <w:t>附注</w:t>
            </w:r>
          </w:p>
        </w:tc>
      </w:tr>
      <w:tr w14:paraId="433D9553">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345" w:hRule="atLeast"/>
          <w:jc w:val="center"/>
        </w:trPr>
        <w:tc>
          <w:tcPr>
            <w:tcW w:w="760" w:type="dxa"/>
            <w:vMerge w:val="restart"/>
            <w:tcBorders>
              <w:top w:val="single" w:color="auto" w:sz="4" w:space="0"/>
              <w:left w:val="single" w:color="auto" w:sz="4" w:space="0"/>
              <w:right w:val="single" w:color="auto" w:sz="4" w:space="0"/>
            </w:tcBorders>
            <w:vAlign w:val="center"/>
          </w:tcPr>
          <w:p w14:paraId="012CEFA4">
            <w:pPr>
              <w:keepNext w:val="0"/>
              <w:keepLines w:val="0"/>
              <w:pageBreakBefore w:val="0"/>
              <w:widowControl w:val="0"/>
              <w:numPr>
                <w:ilvl w:val="0"/>
                <w:numId w:val="1"/>
              </w:numPr>
              <w:kinsoku/>
              <w:wordWrap/>
              <w:overflowPunct/>
              <w:topLinePunct w:val="0"/>
              <w:autoSpaceDE/>
              <w:autoSpaceDN/>
              <w:bidi w:val="0"/>
              <w:adjustRightInd/>
              <w:snapToGrid/>
              <w:ind w:left="425" w:leftChars="0" w:hanging="425" w:firstLineChars="0"/>
              <w:jc w:val="center"/>
              <w:textAlignment w:val="auto"/>
              <w:rPr>
                <w:rFonts w:hint="default" w:ascii="宋体" w:hAnsi="宋体" w:eastAsia="宋体" w:cs="宋体"/>
                <w:szCs w:val="21"/>
                <w:lang w:val="en-US" w:eastAsia="zh-CN"/>
              </w:rPr>
            </w:pPr>
          </w:p>
        </w:tc>
        <w:tc>
          <w:tcPr>
            <w:tcW w:w="2268" w:type="dxa"/>
            <w:tcBorders>
              <w:top w:val="single" w:color="auto" w:sz="4" w:space="0"/>
              <w:left w:val="single" w:color="auto" w:sz="4" w:space="0"/>
              <w:bottom w:val="single" w:color="auto" w:sz="4" w:space="0"/>
              <w:right w:val="single" w:color="auto" w:sz="4" w:space="0"/>
            </w:tcBorders>
            <w:vAlign w:val="center"/>
          </w:tcPr>
          <w:p w14:paraId="45675F5B">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P2水平转子</w:t>
            </w:r>
          </w:p>
        </w:tc>
        <w:tc>
          <w:tcPr>
            <w:tcW w:w="2062" w:type="dxa"/>
            <w:tcBorders>
              <w:top w:val="single" w:color="auto" w:sz="4" w:space="0"/>
              <w:left w:val="single" w:color="auto" w:sz="4" w:space="0"/>
              <w:bottom w:val="single" w:color="auto" w:sz="4" w:space="0"/>
              <w:right w:val="single" w:color="auto" w:sz="4" w:space="0"/>
            </w:tcBorders>
            <w:vAlign w:val="center"/>
          </w:tcPr>
          <w:p w14:paraId="323E493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500</w:t>
            </w:r>
            <w:r>
              <w:rPr>
                <w:rFonts w:hint="eastAsia" w:ascii="宋体" w:hAnsi="宋体" w:eastAsia="宋体" w:cs="宋体"/>
                <w:szCs w:val="21"/>
              </w:rPr>
              <w:t>ml</w:t>
            </w:r>
            <w:r>
              <w:rPr>
                <w:rFonts w:hint="eastAsia" w:ascii="宋体" w:hAnsi="宋体" w:eastAsia="宋体" w:cs="宋体"/>
                <w:kern w:val="0"/>
                <w:szCs w:val="21"/>
                <w:lang w:val="zh-CN"/>
              </w:rPr>
              <w:t>×</w:t>
            </w:r>
            <w:r>
              <w:rPr>
                <w:rFonts w:hint="eastAsia" w:ascii="宋体" w:hAnsi="宋体" w:eastAsia="宋体" w:cs="宋体"/>
                <w:kern w:val="0"/>
                <w:szCs w:val="21"/>
                <w:lang w:val="en-US" w:eastAsia="zh-CN"/>
              </w:rPr>
              <w:t>4</w:t>
            </w:r>
            <w:r>
              <w:rPr>
                <w:rFonts w:hint="eastAsia" w:ascii="宋体" w:hAnsi="宋体" w:eastAsia="宋体" w:cs="宋体"/>
                <w:szCs w:val="21"/>
              </w:rPr>
              <w:t>支</w:t>
            </w:r>
          </w:p>
        </w:tc>
        <w:tc>
          <w:tcPr>
            <w:tcW w:w="937" w:type="dxa"/>
            <w:tcBorders>
              <w:top w:val="single" w:color="auto" w:sz="4" w:space="0"/>
              <w:left w:val="single" w:color="auto" w:sz="4" w:space="0"/>
              <w:bottom w:val="single" w:color="auto" w:sz="4" w:space="0"/>
              <w:right w:val="single" w:color="auto" w:sz="4" w:space="0"/>
            </w:tcBorders>
            <w:vAlign w:val="center"/>
          </w:tcPr>
          <w:p w14:paraId="6AA5B10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Cs w:val="21"/>
              </w:rPr>
              <w:t>1</w:t>
            </w:r>
          </w:p>
        </w:tc>
        <w:tc>
          <w:tcPr>
            <w:tcW w:w="765" w:type="dxa"/>
            <w:tcBorders>
              <w:top w:val="single" w:color="auto" w:sz="4" w:space="0"/>
              <w:left w:val="single" w:color="auto" w:sz="4" w:space="0"/>
              <w:bottom w:val="single" w:color="auto" w:sz="4" w:space="0"/>
              <w:right w:val="single" w:color="auto" w:sz="4" w:space="0"/>
            </w:tcBorders>
            <w:vAlign w:val="center"/>
          </w:tcPr>
          <w:p w14:paraId="2B4DF8F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Cs w:val="21"/>
              </w:rPr>
              <w:t>套</w:t>
            </w:r>
          </w:p>
        </w:tc>
        <w:tc>
          <w:tcPr>
            <w:tcW w:w="1405" w:type="dxa"/>
            <w:tcBorders>
              <w:top w:val="single" w:color="auto" w:sz="4" w:space="0"/>
              <w:left w:val="single" w:color="auto" w:sz="4" w:space="0"/>
              <w:bottom w:val="single" w:color="auto" w:sz="4" w:space="0"/>
              <w:right w:val="single" w:color="auto" w:sz="4" w:space="0"/>
            </w:tcBorders>
          </w:tcPr>
          <w:p w14:paraId="3D556688">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szCs w:val="21"/>
              </w:rPr>
            </w:pPr>
          </w:p>
        </w:tc>
      </w:tr>
      <w:tr w14:paraId="22D06150">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345" w:hRule="atLeast"/>
          <w:jc w:val="center"/>
        </w:trPr>
        <w:tc>
          <w:tcPr>
            <w:tcW w:w="760" w:type="dxa"/>
            <w:vMerge w:val="continue"/>
            <w:tcBorders>
              <w:left w:val="single" w:color="auto" w:sz="4" w:space="0"/>
              <w:right w:val="single" w:color="auto" w:sz="4" w:space="0"/>
            </w:tcBorders>
            <w:vAlign w:val="center"/>
          </w:tcPr>
          <w:p w14:paraId="78B0EDC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Cs w:val="21"/>
                <w:lang w:val="en-US" w:eastAsia="zh-CN"/>
              </w:rPr>
            </w:pPr>
          </w:p>
        </w:tc>
        <w:tc>
          <w:tcPr>
            <w:tcW w:w="2268" w:type="dxa"/>
            <w:tcBorders>
              <w:top w:val="single" w:color="auto" w:sz="4" w:space="0"/>
              <w:left w:val="single" w:color="auto" w:sz="4" w:space="0"/>
              <w:bottom w:val="single" w:color="auto" w:sz="4" w:space="0"/>
              <w:right w:val="single" w:color="auto" w:sz="4" w:space="0"/>
            </w:tcBorders>
            <w:vAlign w:val="center"/>
          </w:tcPr>
          <w:p w14:paraId="36EAE65C">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适配器</w:t>
            </w:r>
          </w:p>
        </w:tc>
        <w:tc>
          <w:tcPr>
            <w:tcW w:w="2062" w:type="dxa"/>
            <w:tcBorders>
              <w:top w:val="single" w:color="auto" w:sz="4" w:space="0"/>
              <w:left w:val="single" w:color="auto" w:sz="4" w:space="0"/>
              <w:bottom w:val="single" w:color="auto" w:sz="4" w:space="0"/>
              <w:right w:val="single" w:color="auto" w:sz="4" w:space="0"/>
            </w:tcBorders>
            <w:vAlign w:val="center"/>
          </w:tcPr>
          <w:p w14:paraId="27B7AEE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15ml×16支</w:t>
            </w:r>
          </w:p>
        </w:tc>
        <w:tc>
          <w:tcPr>
            <w:tcW w:w="937" w:type="dxa"/>
            <w:tcBorders>
              <w:top w:val="single" w:color="auto" w:sz="4" w:space="0"/>
              <w:left w:val="single" w:color="auto" w:sz="4" w:space="0"/>
              <w:bottom w:val="single" w:color="auto" w:sz="4" w:space="0"/>
              <w:right w:val="single" w:color="auto" w:sz="4" w:space="0"/>
            </w:tcBorders>
            <w:vAlign w:val="center"/>
          </w:tcPr>
          <w:p w14:paraId="3CB7C37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Cs w:val="21"/>
              </w:rPr>
              <w:t>1</w:t>
            </w:r>
          </w:p>
        </w:tc>
        <w:tc>
          <w:tcPr>
            <w:tcW w:w="765" w:type="dxa"/>
            <w:tcBorders>
              <w:top w:val="single" w:color="auto" w:sz="4" w:space="0"/>
              <w:left w:val="single" w:color="auto" w:sz="4" w:space="0"/>
              <w:bottom w:val="single" w:color="auto" w:sz="4" w:space="0"/>
              <w:right w:val="single" w:color="auto" w:sz="4" w:space="0"/>
            </w:tcBorders>
            <w:vAlign w:val="center"/>
          </w:tcPr>
          <w:p w14:paraId="089F107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Cs w:val="21"/>
              </w:rPr>
              <w:t>套</w:t>
            </w:r>
          </w:p>
        </w:tc>
        <w:tc>
          <w:tcPr>
            <w:tcW w:w="1405" w:type="dxa"/>
            <w:tcBorders>
              <w:top w:val="single" w:color="auto" w:sz="4" w:space="0"/>
              <w:left w:val="single" w:color="auto" w:sz="4" w:space="0"/>
              <w:bottom w:val="single" w:color="auto" w:sz="4" w:space="0"/>
              <w:right w:val="single" w:color="auto" w:sz="4" w:space="0"/>
            </w:tcBorders>
          </w:tcPr>
          <w:p w14:paraId="1481415A">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szCs w:val="21"/>
              </w:rPr>
            </w:pPr>
          </w:p>
        </w:tc>
      </w:tr>
      <w:tr w14:paraId="5336AD87">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345" w:hRule="atLeast"/>
          <w:jc w:val="center"/>
        </w:trPr>
        <w:tc>
          <w:tcPr>
            <w:tcW w:w="760" w:type="dxa"/>
            <w:vMerge w:val="continue"/>
            <w:tcBorders>
              <w:left w:val="single" w:color="auto" w:sz="4" w:space="0"/>
              <w:right w:val="single" w:color="auto" w:sz="4" w:space="0"/>
            </w:tcBorders>
            <w:vAlign w:val="center"/>
          </w:tcPr>
          <w:p w14:paraId="724A263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Cs w:val="21"/>
                <w:lang w:val="en-US" w:eastAsia="zh-CN"/>
              </w:rPr>
            </w:pPr>
          </w:p>
        </w:tc>
        <w:tc>
          <w:tcPr>
            <w:tcW w:w="2268" w:type="dxa"/>
            <w:tcBorders>
              <w:top w:val="single" w:color="auto" w:sz="4" w:space="0"/>
              <w:left w:val="single" w:color="auto" w:sz="4" w:space="0"/>
              <w:bottom w:val="single" w:color="auto" w:sz="4" w:space="0"/>
              <w:right w:val="single" w:color="auto" w:sz="4" w:space="0"/>
            </w:tcBorders>
            <w:vAlign w:val="center"/>
          </w:tcPr>
          <w:p w14:paraId="55D105CC">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适配器</w:t>
            </w:r>
          </w:p>
        </w:tc>
        <w:tc>
          <w:tcPr>
            <w:tcW w:w="2062" w:type="dxa"/>
            <w:tcBorders>
              <w:top w:val="single" w:color="auto" w:sz="4" w:space="0"/>
              <w:left w:val="single" w:color="auto" w:sz="4" w:space="0"/>
              <w:bottom w:val="single" w:color="auto" w:sz="4" w:space="0"/>
              <w:right w:val="single" w:color="auto" w:sz="4" w:space="0"/>
            </w:tcBorders>
            <w:vAlign w:val="center"/>
          </w:tcPr>
          <w:p w14:paraId="27227A0D">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50ml×8支</w:t>
            </w:r>
          </w:p>
        </w:tc>
        <w:tc>
          <w:tcPr>
            <w:tcW w:w="937" w:type="dxa"/>
            <w:tcBorders>
              <w:top w:val="single" w:color="auto" w:sz="4" w:space="0"/>
              <w:left w:val="single" w:color="auto" w:sz="4" w:space="0"/>
              <w:bottom w:val="single" w:color="auto" w:sz="4" w:space="0"/>
              <w:right w:val="single" w:color="auto" w:sz="4" w:space="0"/>
            </w:tcBorders>
            <w:vAlign w:val="center"/>
          </w:tcPr>
          <w:p w14:paraId="7A471E3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Cs w:val="21"/>
              </w:rPr>
              <w:t>1</w:t>
            </w:r>
          </w:p>
        </w:tc>
        <w:tc>
          <w:tcPr>
            <w:tcW w:w="765" w:type="dxa"/>
            <w:tcBorders>
              <w:top w:val="single" w:color="auto" w:sz="4" w:space="0"/>
              <w:left w:val="single" w:color="auto" w:sz="4" w:space="0"/>
              <w:bottom w:val="single" w:color="auto" w:sz="4" w:space="0"/>
              <w:right w:val="single" w:color="auto" w:sz="4" w:space="0"/>
            </w:tcBorders>
            <w:vAlign w:val="center"/>
          </w:tcPr>
          <w:p w14:paraId="1AA392B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Cs w:val="21"/>
              </w:rPr>
              <w:t>套</w:t>
            </w:r>
          </w:p>
        </w:tc>
        <w:tc>
          <w:tcPr>
            <w:tcW w:w="1405" w:type="dxa"/>
            <w:tcBorders>
              <w:top w:val="single" w:color="auto" w:sz="4" w:space="0"/>
              <w:left w:val="single" w:color="auto" w:sz="4" w:space="0"/>
              <w:bottom w:val="single" w:color="auto" w:sz="4" w:space="0"/>
              <w:right w:val="single" w:color="auto" w:sz="4" w:space="0"/>
            </w:tcBorders>
          </w:tcPr>
          <w:p w14:paraId="56C354CC">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szCs w:val="21"/>
              </w:rPr>
            </w:pPr>
          </w:p>
        </w:tc>
      </w:tr>
      <w:tr w14:paraId="5FA38F5B">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608" w:hRule="atLeast"/>
          <w:jc w:val="center"/>
        </w:trPr>
        <w:tc>
          <w:tcPr>
            <w:tcW w:w="760" w:type="dxa"/>
            <w:tcBorders>
              <w:top w:val="single" w:color="auto" w:sz="4" w:space="0"/>
              <w:left w:val="single" w:color="auto" w:sz="4" w:space="0"/>
              <w:bottom w:val="single" w:color="auto" w:sz="4" w:space="0"/>
              <w:right w:val="single" w:color="auto" w:sz="4" w:space="0"/>
            </w:tcBorders>
            <w:vAlign w:val="center"/>
          </w:tcPr>
          <w:p w14:paraId="037E67BB">
            <w:pPr>
              <w:keepNext w:val="0"/>
              <w:keepLines w:val="0"/>
              <w:pageBreakBefore w:val="0"/>
              <w:widowControl w:val="0"/>
              <w:numPr>
                <w:ilvl w:val="0"/>
                <w:numId w:val="1"/>
              </w:numPr>
              <w:kinsoku/>
              <w:wordWrap/>
              <w:overflowPunct/>
              <w:topLinePunct w:val="0"/>
              <w:autoSpaceDE/>
              <w:autoSpaceDN/>
              <w:bidi w:val="0"/>
              <w:adjustRightInd/>
              <w:snapToGrid/>
              <w:ind w:left="425" w:leftChars="0" w:hanging="425" w:firstLineChars="0"/>
              <w:jc w:val="center"/>
              <w:textAlignment w:val="auto"/>
              <w:rPr>
                <w:rFonts w:hint="eastAsia" w:ascii="宋体" w:hAnsi="宋体" w:eastAsia="宋体" w:cs="宋体"/>
                <w:szCs w:val="21"/>
                <w:lang w:val="en-US" w:eastAsia="zh-CN"/>
              </w:rPr>
            </w:pPr>
          </w:p>
        </w:tc>
        <w:tc>
          <w:tcPr>
            <w:tcW w:w="2268" w:type="dxa"/>
            <w:tcBorders>
              <w:top w:val="single" w:color="auto" w:sz="4" w:space="0"/>
              <w:left w:val="single" w:color="auto" w:sz="4" w:space="0"/>
              <w:bottom w:val="single" w:color="auto" w:sz="4" w:space="0"/>
              <w:right w:val="single" w:color="auto" w:sz="4" w:space="0"/>
            </w:tcBorders>
            <w:vAlign w:val="center"/>
          </w:tcPr>
          <w:p w14:paraId="071270E9">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szCs w:val="21"/>
              </w:rPr>
            </w:pPr>
            <w:r>
              <w:rPr>
                <w:rFonts w:hint="eastAsia" w:ascii="宋体" w:hAnsi="宋体" w:eastAsia="宋体" w:cs="宋体"/>
                <w:szCs w:val="21"/>
              </w:rPr>
              <w:t>保险管15A</w:t>
            </w:r>
          </w:p>
          <w:p w14:paraId="47E06EC1">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szCs w:val="21"/>
              </w:rPr>
            </w:pPr>
            <w:r>
              <w:rPr>
                <w:rFonts w:hint="eastAsia" w:ascii="宋体" w:hAnsi="宋体" w:eastAsia="宋体" w:cs="宋体"/>
                <w:szCs w:val="21"/>
              </w:rPr>
              <w:t>（φ5×20mm）</w:t>
            </w:r>
          </w:p>
        </w:tc>
        <w:tc>
          <w:tcPr>
            <w:tcW w:w="2062" w:type="dxa"/>
            <w:tcBorders>
              <w:top w:val="single" w:color="auto" w:sz="4" w:space="0"/>
              <w:left w:val="single" w:color="auto" w:sz="4" w:space="0"/>
              <w:bottom w:val="single" w:color="auto" w:sz="4" w:space="0"/>
              <w:right w:val="single" w:color="auto" w:sz="4" w:space="0"/>
            </w:tcBorders>
            <w:vAlign w:val="center"/>
          </w:tcPr>
          <w:p w14:paraId="6EF21404">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Cs w:val="21"/>
                <w:lang w:val="en-US" w:eastAsia="zh-CN"/>
              </w:rPr>
            </w:pPr>
          </w:p>
        </w:tc>
        <w:tc>
          <w:tcPr>
            <w:tcW w:w="937" w:type="dxa"/>
            <w:tcBorders>
              <w:top w:val="single" w:color="auto" w:sz="4" w:space="0"/>
              <w:left w:val="single" w:color="auto" w:sz="4" w:space="0"/>
              <w:bottom w:val="single" w:color="auto" w:sz="4" w:space="0"/>
              <w:right w:val="single" w:color="auto" w:sz="4" w:space="0"/>
            </w:tcBorders>
            <w:vAlign w:val="center"/>
          </w:tcPr>
          <w:p w14:paraId="6F787F8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Cs w:val="21"/>
              </w:rPr>
            </w:pPr>
            <w:r>
              <w:rPr>
                <w:rFonts w:hint="eastAsia" w:ascii="宋体" w:hAnsi="宋体" w:eastAsia="宋体" w:cs="宋体"/>
                <w:szCs w:val="21"/>
                <w:lang w:val="en-US" w:eastAsia="zh-CN"/>
              </w:rPr>
              <w:t>2</w:t>
            </w:r>
          </w:p>
        </w:tc>
        <w:tc>
          <w:tcPr>
            <w:tcW w:w="765" w:type="dxa"/>
            <w:tcBorders>
              <w:top w:val="single" w:color="auto" w:sz="4" w:space="0"/>
              <w:left w:val="single" w:color="auto" w:sz="4" w:space="0"/>
              <w:bottom w:val="single" w:color="auto" w:sz="4" w:space="0"/>
              <w:right w:val="single" w:color="auto" w:sz="4" w:space="0"/>
            </w:tcBorders>
            <w:vAlign w:val="center"/>
          </w:tcPr>
          <w:p w14:paraId="6322A6D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Cs w:val="21"/>
                <w:lang w:eastAsia="zh-CN"/>
              </w:rPr>
            </w:pPr>
            <w:r>
              <w:rPr>
                <w:rFonts w:hint="eastAsia" w:ascii="宋体" w:hAnsi="宋体" w:eastAsia="宋体" w:cs="宋体"/>
                <w:szCs w:val="21"/>
                <w:lang w:val="en-US" w:eastAsia="zh-CN"/>
              </w:rPr>
              <w:t>支</w:t>
            </w:r>
          </w:p>
        </w:tc>
        <w:tc>
          <w:tcPr>
            <w:tcW w:w="1405" w:type="dxa"/>
            <w:tcBorders>
              <w:top w:val="single" w:color="auto" w:sz="4" w:space="0"/>
              <w:left w:val="single" w:color="auto" w:sz="4" w:space="0"/>
              <w:bottom w:val="single" w:color="auto" w:sz="4" w:space="0"/>
              <w:right w:val="single" w:color="auto" w:sz="4" w:space="0"/>
            </w:tcBorders>
          </w:tcPr>
          <w:p w14:paraId="7E12A1C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Cs w:val="21"/>
              </w:rPr>
            </w:pPr>
          </w:p>
        </w:tc>
      </w:tr>
      <w:tr w14:paraId="524DC0F4">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365" w:hRule="atLeast"/>
          <w:jc w:val="center"/>
        </w:trPr>
        <w:tc>
          <w:tcPr>
            <w:tcW w:w="760" w:type="dxa"/>
            <w:tcBorders>
              <w:top w:val="single" w:color="auto" w:sz="4" w:space="0"/>
              <w:left w:val="single" w:color="auto" w:sz="4" w:space="0"/>
              <w:bottom w:val="single" w:color="auto" w:sz="4" w:space="0"/>
              <w:right w:val="single" w:color="auto" w:sz="4" w:space="0"/>
            </w:tcBorders>
            <w:vAlign w:val="center"/>
          </w:tcPr>
          <w:p w14:paraId="0BD416EE">
            <w:pPr>
              <w:keepNext w:val="0"/>
              <w:keepLines w:val="0"/>
              <w:pageBreakBefore w:val="0"/>
              <w:widowControl w:val="0"/>
              <w:numPr>
                <w:ilvl w:val="0"/>
                <w:numId w:val="1"/>
              </w:numPr>
              <w:kinsoku/>
              <w:wordWrap/>
              <w:overflowPunct/>
              <w:topLinePunct w:val="0"/>
              <w:autoSpaceDE/>
              <w:autoSpaceDN/>
              <w:bidi w:val="0"/>
              <w:adjustRightInd/>
              <w:snapToGrid/>
              <w:ind w:left="425" w:leftChars="0" w:hanging="425" w:firstLineChars="0"/>
              <w:jc w:val="center"/>
              <w:textAlignment w:val="auto"/>
              <w:rPr>
                <w:rFonts w:hint="default" w:ascii="宋体" w:hAnsi="宋体" w:eastAsia="宋体" w:cs="宋体"/>
                <w:szCs w:val="21"/>
                <w:lang w:val="en-US" w:eastAsia="zh-CN"/>
              </w:rPr>
            </w:pPr>
          </w:p>
        </w:tc>
        <w:tc>
          <w:tcPr>
            <w:tcW w:w="2268" w:type="dxa"/>
            <w:tcBorders>
              <w:top w:val="single" w:color="auto" w:sz="4" w:space="0"/>
              <w:left w:val="single" w:color="auto" w:sz="4" w:space="0"/>
              <w:bottom w:val="single" w:color="auto" w:sz="4" w:space="0"/>
              <w:right w:val="single" w:color="auto" w:sz="4" w:space="0"/>
            </w:tcBorders>
            <w:vAlign w:val="center"/>
          </w:tcPr>
          <w:p w14:paraId="19413532">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szCs w:val="21"/>
              </w:rPr>
            </w:pPr>
            <w:r>
              <w:rPr>
                <w:rFonts w:hint="eastAsia" w:ascii="宋体" w:hAnsi="宋体" w:eastAsia="宋体" w:cs="宋体"/>
                <w:szCs w:val="21"/>
              </w:rPr>
              <w:t>电源线</w:t>
            </w:r>
          </w:p>
        </w:tc>
        <w:tc>
          <w:tcPr>
            <w:tcW w:w="2062" w:type="dxa"/>
            <w:tcBorders>
              <w:top w:val="single" w:color="auto" w:sz="4" w:space="0"/>
              <w:left w:val="single" w:color="auto" w:sz="4" w:space="0"/>
              <w:bottom w:val="single" w:color="auto" w:sz="4" w:space="0"/>
              <w:right w:val="single" w:color="auto" w:sz="4" w:space="0"/>
            </w:tcBorders>
            <w:vAlign w:val="center"/>
          </w:tcPr>
          <w:p w14:paraId="18B7A30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Cs w:val="21"/>
              </w:rPr>
            </w:pPr>
          </w:p>
        </w:tc>
        <w:tc>
          <w:tcPr>
            <w:tcW w:w="937" w:type="dxa"/>
            <w:tcBorders>
              <w:top w:val="single" w:color="auto" w:sz="4" w:space="0"/>
              <w:left w:val="single" w:color="auto" w:sz="4" w:space="0"/>
              <w:bottom w:val="single" w:color="auto" w:sz="4" w:space="0"/>
              <w:right w:val="single" w:color="auto" w:sz="4" w:space="0"/>
            </w:tcBorders>
            <w:vAlign w:val="center"/>
          </w:tcPr>
          <w:p w14:paraId="468804CD">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Cs w:val="21"/>
              </w:rPr>
            </w:pPr>
            <w:r>
              <w:rPr>
                <w:rFonts w:hint="eastAsia" w:ascii="宋体" w:hAnsi="宋体" w:eastAsia="宋体" w:cs="宋体"/>
                <w:szCs w:val="21"/>
              </w:rPr>
              <w:t>1</w:t>
            </w:r>
          </w:p>
        </w:tc>
        <w:tc>
          <w:tcPr>
            <w:tcW w:w="765" w:type="dxa"/>
            <w:tcBorders>
              <w:top w:val="single" w:color="auto" w:sz="4" w:space="0"/>
              <w:left w:val="single" w:color="auto" w:sz="4" w:space="0"/>
              <w:bottom w:val="single" w:color="auto" w:sz="4" w:space="0"/>
              <w:right w:val="single" w:color="auto" w:sz="4" w:space="0"/>
            </w:tcBorders>
            <w:vAlign w:val="center"/>
          </w:tcPr>
          <w:p w14:paraId="3B668DA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Cs w:val="21"/>
              </w:rPr>
            </w:pPr>
            <w:r>
              <w:rPr>
                <w:rFonts w:hint="eastAsia" w:ascii="宋体" w:hAnsi="宋体" w:eastAsia="宋体" w:cs="宋体"/>
                <w:szCs w:val="21"/>
              </w:rPr>
              <w:t>条</w:t>
            </w:r>
          </w:p>
        </w:tc>
        <w:tc>
          <w:tcPr>
            <w:tcW w:w="1405" w:type="dxa"/>
            <w:tcBorders>
              <w:top w:val="single" w:color="auto" w:sz="4" w:space="0"/>
              <w:left w:val="single" w:color="auto" w:sz="4" w:space="0"/>
              <w:bottom w:val="single" w:color="auto" w:sz="4" w:space="0"/>
              <w:right w:val="single" w:color="auto" w:sz="4" w:space="0"/>
            </w:tcBorders>
          </w:tcPr>
          <w:p w14:paraId="37CD52D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Cs w:val="21"/>
              </w:rPr>
            </w:pPr>
          </w:p>
        </w:tc>
      </w:tr>
      <w:tr w14:paraId="1A9B5E59">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335" w:hRule="atLeast"/>
          <w:jc w:val="center"/>
        </w:trPr>
        <w:tc>
          <w:tcPr>
            <w:tcW w:w="760" w:type="dxa"/>
            <w:tcBorders>
              <w:top w:val="single" w:color="auto" w:sz="4" w:space="0"/>
              <w:left w:val="single" w:color="auto" w:sz="4" w:space="0"/>
              <w:bottom w:val="single" w:color="auto" w:sz="4" w:space="0"/>
              <w:right w:val="single" w:color="auto" w:sz="4" w:space="0"/>
            </w:tcBorders>
            <w:vAlign w:val="center"/>
          </w:tcPr>
          <w:p w14:paraId="16E9CCF7">
            <w:pPr>
              <w:keepNext w:val="0"/>
              <w:keepLines w:val="0"/>
              <w:pageBreakBefore w:val="0"/>
              <w:widowControl w:val="0"/>
              <w:numPr>
                <w:ilvl w:val="0"/>
                <w:numId w:val="1"/>
              </w:numPr>
              <w:kinsoku/>
              <w:wordWrap/>
              <w:overflowPunct/>
              <w:topLinePunct w:val="0"/>
              <w:autoSpaceDE/>
              <w:autoSpaceDN/>
              <w:bidi w:val="0"/>
              <w:adjustRightInd/>
              <w:snapToGrid/>
              <w:ind w:left="425" w:leftChars="0" w:hanging="425" w:firstLineChars="0"/>
              <w:jc w:val="center"/>
              <w:textAlignment w:val="auto"/>
              <w:rPr>
                <w:rFonts w:hint="default" w:ascii="宋体" w:hAnsi="宋体" w:eastAsia="宋体" w:cs="宋体"/>
                <w:szCs w:val="21"/>
                <w:lang w:val="en-US" w:eastAsia="zh-CN"/>
              </w:rPr>
            </w:pPr>
          </w:p>
        </w:tc>
        <w:tc>
          <w:tcPr>
            <w:tcW w:w="2268" w:type="dxa"/>
            <w:tcBorders>
              <w:top w:val="single" w:color="auto" w:sz="4" w:space="0"/>
              <w:left w:val="single" w:color="auto" w:sz="4" w:space="0"/>
              <w:bottom w:val="single" w:color="auto" w:sz="4" w:space="0"/>
              <w:right w:val="single" w:color="auto" w:sz="4" w:space="0"/>
            </w:tcBorders>
            <w:vAlign w:val="center"/>
          </w:tcPr>
          <w:p w14:paraId="0D8495BA">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szCs w:val="21"/>
              </w:rPr>
            </w:pPr>
            <w:r>
              <w:rPr>
                <w:rFonts w:hint="eastAsia" w:ascii="宋体" w:hAnsi="宋体" w:eastAsia="宋体" w:cs="宋体"/>
                <w:szCs w:val="21"/>
              </w:rPr>
              <w:t>产品合格证</w:t>
            </w:r>
          </w:p>
        </w:tc>
        <w:tc>
          <w:tcPr>
            <w:tcW w:w="2062" w:type="dxa"/>
            <w:tcBorders>
              <w:top w:val="single" w:color="auto" w:sz="4" w:space="0"/>
              <w:left w:val="single" w:color="auto" w:sz="4" w:space="0"/>
              <w:bottom w:val="single" w:color="auto" w:sz="4" w:space="0"/>
              <w:right w:val="single" w:color="auto" w:sz="4" w:space="0"/>
            </w:tcBorders>
            <w:vAlign w:val="center"/>
          </w:tcPr>
          <w:p w14:paraId="38B6A1F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Cs w:val="21"/>
              </w:rPr>
            </w:pPr>
          </w:p>
        </w:tc>
        <w:tc>
          <w:tcPr>
            <w:tcW w:w="937" w:type="dxa"/>
            <w:tcBorders>
              <w:top w:val="single" w:color="auto" w:sz="4" w:space="0"/>
              <w:left w:val="single" w:color="auto" w:sz="4" w:space="0"/>
              <w:bottom w:val="single" w:color="auto" w:sz="4" w:space="0"/>
              <w:right w:val="single" w:color="auto" w:sz="4" w:space="0"/>
            </w:tcBorders>
            <w:vAlign w:val="center"/>
          </w:tcPr>
          <w:p w14:paraId="0BC3C66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Cs w:val="21"/>
              </w:rPr>
            </w:pPr>
            <w:r>
              <w:rPr>
                <w:rFonts w:hint="eastAsia" w:ascii="宋体" w:hAnsi="宋体" w:eastAsia="宋体" w:cs="宋体"/>
                <w:szCs w:val="21"/>
              </w:rPr>
              <w:t>1</w:t>
            </w:r>
          </w:p>
        </w:tc>
        <w:tc>
          <w:tcPr>
            <w:tcW w:w="765" w:type="dxa"/>
            <w:tcBorders>
              <w:top w:val="single" w:color="auto" w:sz="4" w:space="0"/>
              <w:left w:val="single" w:color="auto" w:sz="4" w:space="0"/>
              <w:bottom w:val="single" w:color="auto" w:sz="4" w:space="0"/>
              <w:right w:val="single" w:color="auto" w:sz="4" w:space="0"/>
            </w:tcBorders>
            <w:vAlign w:val="center"/>
          </w:tcPr>
          <w:p w14:paraId="7128602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Cs w:val="21"/>
              </w:rPr>
            </w:pPr>
            <w:r>
              <w:rPr>
                <w:rFonts w:hint="eastAsia" w:ascii="宋体" w:hAnsi="宋体" w:eastAsia="宋体" w:cs="宋体"/>
                <w:szCs w:val="21"/>
              </w:rPr>
              <w:t>份</w:t>
            </w:r>
          </w:p>
        </w:tc>
        <w:tc>
          <w:tcPr>
            <w:tcW w:w="1405" w:type="dxa"/>
            <w:tcBorders>
              <w:top w:val="single" w:color="auto" w:sz="4" w:space="0"/>
              <w:left w:val="single" w:color="auto" w:sz="4" w:space="0"/>
              <w:bottom w:val="single" w:color="auto" w:sz="4" w:space="0"/>
              <w:right w:val="single" w:color="auto" w:sz="4" w:space="0"/>
            </w:tcBorders>
          </w:tcPr>
          <w:p w14:paraId="4BBFE73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Cs w:val="21"/>
              </w:rPr>
            </w:pPr>
          </w:p>
        </w:tc>
      </w:tr>
      <w:tr w14:paraId="1FB48677">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384" w:hRule="atLeast"/>
          <w:jc w:val="center"/>
        </w:trPr>
        <w:tc>
          <w:tcPr>
            <w:tcW w:w="760" w:type="dxa"/>
            <w:tcBorders>
              <w:top w:val="single" w:color="auto" w:sz="4" w:space="0"/>
              <w:left w:val="single" w:color="auto" w:sz="4" w:space="0"/>
              <w:bottom w:val="single" w:color="auto" w:sz="4" w:space="0"/>
              <w:right w:val="single" w:color="auto" w:sz="4" w:space="0"/>
            </w:tcBorders>
            <w:vAlign w:val="center"/>
          </w:tcPr>
          <w:p w14:paraId="26D73849">
            <w:pPr>
              <w:keepNext w:val="0"/>
              <w:keepLines w:val="0"/>
              <w:pageBreakBefore w:val="0"/>
              <w:widowControl w:val="0"/>
              <w:numPr>
                <w:ilvl w:val="0"/>
                <w:numId w:val="1"/>
              </w:numPr>
              <w:kinsoku/>
              <w:wordWrap/>
              <w:overflowPunct/>
              <w:topLinePunct w:val="0"/>
              <w:autoSpaceDE/>
              <w:autoSpaceDN/>
              <w:bidi w:val="0"/>
              <w:adjustRightInd/>
              <w:snapToGrid/>
              <w:ind w:left="425" w:leftChars="0" w:hanging="425" w:firstLineChars="0"/>
              <w:jc w:val="center"/>
              <w:textAlignment w:val="auto"/>
              <w:rPr>
                <w:rFonts w:hint="eastAsia" w:ascii="宋体" w:hAnsi="宋体" w:eastAsia="宋体" w:cs="宋体"/>
                <w:szCs w:val="21"/>
                <w:lang w:val="en-US" w:eastAsia="zh-CN"/>
              </w:rPr>
            </w:pPr>
          </w:p>
        </w:tc>
        <w:tc>
          <w:tcPr>
            <w:tcW w:w="2268" w:type="dxa"/>
            <w:tcBorders>
              <w:top w:val="single" w:color="auto" w:sz="4" w:space="0"/>
              <w:left w:val="single" w:color="auto" w:sz="4" w:space="0"/>
              <w:bottom w:val="single" w:color="auto" w:sz="4" w:space="0"/>
              <w:right w:val="single" w:color="auto" w:sz="4" w:space="0"/>
            </w:tcBorders>
            <w:vAlign w:val="center"/>
          </w:tcPr>
          <w:p w14:paraId="61084D64">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szCs w:val="21"/>
              </w:rPr>
            </w:pPr>
            <w:r>
              <w:rPr>
                <w:rFonts w:hint="eastAsia" w:ascii="宋体" w:hAnsi="宋体" w:eastAsia="宋体" w:cs="宋体"/>
                <w:szCs w:val="21"/>
              </w:rPr>
              <w:t>产品使用说明书</w:t>
            </w:r>
          </w:p>
        </w:tc>
        <w:tc>
          <w:tcPr>
            <w:tcW w:w="2062" w:type="dxa"/>
            <w:tcBorders>
              <w:top w:val="single" w:color="auto" w:sz="4" w:space="0"/>
              <w:left w:val="single" w:color="auto" w:sz="4" w:space="0"/>
              <w:bottom w:val="single" w:color="auto" w:sz="4" w:space="0"/>
              <w:right w:val="single" w:color="auto" w:sz="4" w:space="0"/>
            </w:tcBorders>
            <w:vAlign w:val="center"/>
          </w:tcPr>
          <w:p w14:paraId="537E29DD">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Cs w:val="21"/>
              </w:rPr>
            </w:pPr>
          </w:p>
        </w:tc>
        <w:tc>
          <w:tcPr>
            <w:tcW w:w="937" w:type="dxa"/>
            <w:tcBorders>
              <w:top w:val="single" w:color="auto" w:sz="4" w:space="0"/>
              <w:left w:val="single" w:color="auto" w:sz="4" w:space="0"/>
              <w:bottom w:val="single" w:color="auto" w:sz="4" w:space="0"/>
              <w:right w:val="single" w:color="auto" w:sz="4" w:space="0"/>
            </w:tcBorders>
            <w:vAlign w:val="center"/>
          </w:tcPr>
          <w:p w14:paraId="34BA55A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Cs w:val="21"/>
              </w:rPr>
            </w:pPr>
            <w:r>
              <w:rPr>
                <w:rFonts w:hint="eastAsia" w:ascii="宋体" w:hAnsi="宋体" w:eastAsia="宋体" w:cs="宋体"/>
                <w:szCs w:val="21"/>
              </w:rPr>
              <w:t>1</w:t>
            </w:r>
          </w:p>
        </w:tc>
        <w:tc>
          <w:tcPr>
            <w:tcW w:w="765" w:type="dxa"/>
            <w:tcBorders>
              <w:top w:val="single" w:color="auto" w:sz="4" w:space="0"/>
              <w:left w:val="single" w:color="auto" w:sz="4" w:space="0"/>
              <w:bottom w:val="single" w:color="auto" w:sz="4" w:space="0"/>
              <w:right w:val="single" w:color="auto" w:sz="4" w:space="0"/>
            </w:tcBorders>
            <w:vAlign w:val="center"/>
          </w:tcPr>
          <w:p w14:paraId="26B561D4">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Cs w:val="21"/>
              </w:rPr>
            </w:pPr>
            <w:r>
              <w:rPr>
                <w:rFonts w:hint="eastAsia" w:ascii="宋体" w:hAnsi="宋体" w:eastAsia="宋体" w:cs="宋体"/>
                <w:szCs w:val="21"/>
              </w:rPr>
              <w:t>份</w:t>
            </w:r>
          </w:p>
        </w:tc>
        <w:tc>
          <w:tcPr>
            <w:tcW w:w="1405" w:type="dxa"/>
            <w:tcBorders>
              <w:top w:val="single" w:color="auto" w:sz="4" w:space="0"/>
              <w:left w:val="single" w:color="auto" w:sz="4" w:space="0"/>
              <w:bottom w:val="single" w:color="auto" w:sz="4" w:space="0"/>
              <w:right w:val="single" w:color="auto" w:sz="4" w:space="0"/>
            </w:tcBorders>
          </w:tcPr>
          <w:p w14:paraId="08CFF89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Cs w:val="21"/>
              </w:rPr>
            </w:pPr>
          </w:p>
        </w:tc>
      </w:tr>
    </w:tbl>
    <w:p w14:paraId="74EBF339">
      <w:pPr>
        <w:numPr>
          <w:ilvl w:val="0"/>
          <w:numId w:val="0"/>
        </w:numPr>
        <w:spacing w:line="276" w:lineRule="auto"/>
        <w:ind w:firstLine="210" w:firstLineChars="100"/>
        <w:jc w:val="left"/>
        <w:rPr>
          <w:rFonts w:hint="default" w:ascii="Times New Roman" w:hAnsi="Times New Roman" w:eastAsia="宋体" w:cs="Times New Roman"/>
          <w:color w:val="000000" w:themeColor="text1"/>
          <w:szCs w:val="21"/>
          <w:lang w:val="en-US" w:eastAsia="zh-CN"/>
          <w14:textFill>
            <w14:solidFill>
              <w14:schemeClr w14:val="tx1"/>
            </w14:solidFill>
          </w14:textFill>
        </w:rPr>
      </w:pPr>
    </w:p>
    <w:p w14:paraId="46E29A2C">
      <w:pPr>
        <w:numPr>
          <w:ilvl w:val="0"/>
          <w:numId w:val="0"/>
        </w:numPr>
        <w:spacing w:line="276" w:lineRule="auto"/>
        <w:ind w:left="-141" w:leftChars="-67" w:firstLine="0" w:firstLineChars="0"/>
        <w:jc w:val="left"/>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
          <w:bCs/>
          <w:color w:val="000000" w:themeColor="text1"/>
          <w:kern w:val="2"/>
          <w:sz w:val="24"/>
          <w:szCs w:val="24"/>
          <w:lang w:val="en-US" w:eastAsia="zh-CN" w:bidi="ar-SA"/>
          <w14:textFill>
            <w14:solidFill>
              <w14:schemeClr w14:val="tx1"/>
            </w14:solidFill>
          </w14:textFill>
        </w:rPr>
        <w:t>三、</w:t>
      </w: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商务要求</w:t>
      </w:r>
    </w:p>
    <w:p w14:paraId="7D4471AE">
      <w:pPr>
        <w:numPr>
          <w:ilvl w:val="0"/>
          <w:numId w:val="0"/>
        </w:numPr>
        <w:spacing w:line="360" w:lineRule="auto"/>
        <w:rPr>
          <w:rFonts w:hint="eastAsia" w:ascii="Times New Roman" w:hAnsi="Times New Roman" w:eastAsia="宋体" w:cs="Times New Roman"/>
          <w:b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bCs/>
          <w:color w:val="000000" w:themeColor="text1"/>
          <w:kern w:val="0"/>
          <w:sz w:val="21"/>
          <w:szCs w:val="21"/>
          <w:lang w:val="en-US" w:eastAsia="zh-CN" w:bidi="ar-SA"/>
          <w14:textFill>
            <w14:solidFill>
              <w14:schemeClr w14:val="tx1"/>
            </w14:solidFill>
          </w14:textFill>
        </w:rPr>
        <w:t>1、中标人必须按项目进度安排计划，派出适当的技术人员到安装现场负责免费安装和调试工作。在安装施工期间，严格遵守用户方的有关规定。</w:t>
      </w:r>
    </w:p>
    <w:p w14:paraId="4871B6A7">
      <w:pPr>
        <w:tabs>
          <w:tab w:val="left" w:pos="0"/>
          <w:tab w:val="left" w:pos="420"/>
        </w:tabs>
        <w:spacing w:line="360" w:lineRule="auto"/>
        <w:rPr>
          <w:rFonts w:hint="eastAsia" w:ascii="Times New Roman" w:hAnsi="Times New Roman" w:eastAsia="宋体" w:cs="Times New Roman"/>
          <w:b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bCs/>
          <w:color w:val="000000" w:themeColor="text1"/>
          <w:kern w:val="0"/>
          <w:sz w:val="21"/>
          <w:szCs w:val="21"/>
          <w:lang w:val="en-US" w:eastAsia="zh-CN" w:bidi="ar-SA"/>
          <w14:textFill>
            <w14:solidFill>
              <w14:schemeClr w14:val="tx1"/>
            </w14:solidFill>
          </w14:textFill>
        </w:rPr>
        <w:t>2、安装验收期间，在招标人所在地对招标人进行仪器操作、日常维护、所有检测指标的现场培训，2年内须提供不少于每年1次的上门免费培训服务。培训所需全部费用均已包含在投标报价中。</w:t>
      </w:r>
    </w:p>
    <w:p w14:paraId="305CBD9B">
      <w:pPr>
        <w:numPr>
          <w:ilvl w:val="0"/>
          <w:numId w:val="0"/>
        </w:numPr>
        <w:tabs>
          <w:tab w:val="left" w:pos="0"/>
          <w:tab w:val="left" w:pos="420"/>
        </w:tabs>
        <w:spacing w:line="360" w:lineRule="auto"/>
        <w:rPr>
          <w:rFonts w:hint="eastAsia" w:ascii="Times New Roman" w:hAnsi="Times New Roman" w:eastAsia="宋体" w:cs="Times New Roman"/>
          <w:b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bCs/>
          <w:color w:val="000000" w:themeColor="text1"/>
          <w:kern w:val="0"/>
          <w:sz w:val="21"/>
          <w:szCs w:val="21"/>
          <w:lang w:val="en-US" w:eastAsia="zh-CN" w:bidi="ar-SA"/>
          <w14:textFill>
            <w14:solidFill>
              <w14:schemeClr w14:val="tx1"/>
            </w14:solidFill>
          </w14:textFill>
        </w:rPr>
        <w:t>3、中标人应将关键主机设备的用户手册、保修手册、有关单证资料及配备件、随机工具等交付给采购人，使用操作及安全须知等重要资料应附有中文说明。</w:t>
      </w:r>
    </w:p>
    <w:p w14:paraId="072C58C2">
      <w:pPr>
        <w:numPr>
          <w:ilvl w:val="0"/>
          <w:numId w:val="0"/>
        </w:numPr>
        <w:tabs>
          <w:tab w:val="left" w:pos="0"/>
          <w:tab w:val="left" w:pos="420"/>
        </w:tabs>
        <w:spacing w:line="360" w:lineRule="auto"/>
        <w:rPr>
          <w:rFonts w:hint="eastAsia" w:ascii="Times New Roman" w:hAnsi="Times New Roman" w:eastAsia="宋体" w:cs="Times New Roman"/>
          <w:b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bCs/>
          <w:color w:val="000000" w:themeColor="text1"/>
          <w:kern w:val="0"/>
          <w:sz w:val="21"/>
          <w:szCs w:val="21"/>
          <w:lang w:val="en-US" w:eastAsia="zh-CN" w:bidi="ar-SA"/>
          <w14:textFill>
            <w14:solidFill>
              <w14:schemeClr w14:val="tx1"/>
            </w14:solidFill>
          </w14:textFill>
        </w:rPr>
        <w:t>4、招标人按照采购合同规定的技术、服务、安全标准组织对中标人履约情况进行验收，并出具验收书。验收书应当包括每一项技术、服务、安全标准的履约情况。</w:t>
      </w:r>
    </w:p>
    <w:p w14:paraId="325C0BE8">
      <w:pPr>
        <w:numPr>
          <w:ilvl w:val="0"/>
          <w:numId w:val="0"/>
        </w:numPr>
        <w:spacing w:line="360" w:lineRule="auto"/>
        <w:rPr>
          <w:rFonts w:hint="eastAsia" w:ascii="Times New Roman" w:hAnsi="Times New Roman" w:eastAsia="宋体" w:cs="Times New Roman"/>
          <w:b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bCs/>
          <w:color w:val="000000" w:themeColor="text1"/>
          <w:kern w:val="0"/>
          <w:sz w:val="21"/>
          <w:szCs w:val="21"/>
          <w:lang w:val="en-US" w:eastAsia="zh-CN" w:bidi="ar-SA"/>
          <w14:textFill>
            <w14:solidFill>
              <w14:schemeClr w14:val="tx1"/>
            </w14:solidFill>
          </w14:textFill>
        </w:rPr>
        <w:t>5、交付验收标准依次序对照适用标准为：①符合中华人民共和国“国家安全质量标准、环保标准或行业标准；”②符合招标文件和响应承诺中招标人认可的合理最佳配置、参数及各项要求；③货物来源国官方标准。货物为原厂商未启封全新包装，具出厂合格证，序列号、包装箱号与出厂批号一致，并可追溯查阅。所有随设备的附件必须齐全。</w:t>
      </w:r>
    </w:p>
    <w:p w14:paraId="36E6AF2F">
      <w:pPr>
        <w:numPr>
          <w:ilvl w:val="0"/>
          <w:numId w:val="0"/>
        </w:numPr>
        <w:spacing w:line="360" w:lineRule="auto"/>
        <w:rPr>
          <w:rFonts w:hint="eastAsia" w:ascii="Times New Roman" w:hAnsi="Times New Roman" w:eastAsia="宋体" w:cs="Times New Roman"/>
          <w:b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bCs/>
          <w:color w:val="000000" w:themeColor="text1"/>
          <w:kern w:val="0"/>
          <w:sz w:val="21"/>
          <w:szCs w:val="21"/>
          <w:lang w:val="en-US" w:eastAsia="zh-CN" w:bidi="ar-SA"/>
          <w14:textFill>
            <w14:solidFill>
              <w14:schemeClr w14:val="tx1"/>
            </w14:solidFill>
          </w14:textFill>
        </w:rPr>
        <w:t>6、中标人将货物的用户手册、保修手册、有关单证资料及备品备件、随机工具等交付给招标人，使用操作及安全须知等重要资料应附有中文说明。货物验收所发生的检验费用由中标人负担。</w:t>
      </w:r>
    </w:p>
    <w:p w14:paraId="18890865">
      <w:pPr>
        <w:numPr>
          <w:ilvl w:val="0"/>
          <w:numId w:val="0"/>
        </w:numPr>
        <w:spacing w:line="360" w:lineRule="auto"/>
        <w:rPr>
          <w:rFonts w:hint="eastAsia" w:ascii="Times New Roman" w:hAnsi="Times New Roman" w:eastAsia="宋体" w:cs="Times New Roman"/>
          <w:b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bCs/>
          <w:color w:val="000000" w:themeColor="text1"/>
          <w:kern w:val="0"/>
          <w:sz w:val="21"/>
          <w:szCs w:val="21"/>
          <w:lang w:val="en-US" w:eastAsia="zh-CN" w:bidi="ar-SA"/>
          <w14:textFill>
            <w14:solidFill>
              <w14:schemeClr w14:val="tx1"/>
            </w14:solidFill>
          </w14:textFill>
        </w:rPr>
        <w:t>8、中标人负责设备的供货、安装调试、验收，经招标人验收合格方可。</w:t>
      </w:r>
      <w:r>
        <w:rPr>
          <w:rFonts w:hint="eastAsia" w:ascii="Times New Roman" w:hAnsi="Times New Roman" w:eastAsia="宋体" w:cs="Times New Roman"/>
          <w:bCs/>
          <w:color w:val="000000" w:themeColor="text1"/>
          <w:kern w:val="0"/>
          <w:sz w:val="21"/>
          <w:szCs w:val="21"/>
          <w:highlight w:val="yellow"/>
          <w:lang w:val="en-US" w:eastAsia="zh-CN" w:bidi="ar-SA"/>
          <w14:textFill>
            <w14:solidFill>
              <w14:schemeClr w14:val="tx1"/>
            </w14:solidFill>
          </w14:textFill>
        </w:rPr>
        <w:t>质量保证期不少于2 年</w:t>
      </w:r>
      <w:r>
        <w:rPr>
          <w:rFonts w:hint="eastAsia" w:ascii="Times New Roman" w:hAnsi="Times New Roman" w:eastAsia="宋体" w:cs="Times New Roman"/>
          <w:bCs/>
          <w:color w:val="000000" w:themeColor="text1"/>
          <w:kern w:val="0"/>
          <w:sz w:val="21"/>
          <w:szCs w:val="21"/>
          <w:lang w:val="en-US" w:eastAsia="zh-CN" w:bidi="ar-SA"/>
          <w14:textFill>
            <w14:solidFill>
              <w14:schemeClr w14:val="tx1"/>
            </w14:solidFill>
          </w14:textFill>
        </w:rPr>
        <w:t>，自招标人和中标人代表在货物安装调试验收后的验收书上签字之日起计算。“技术要求”中另有要求的，以其中的要求为准。维保服务可由设备制造商或其授权服务商提供，授权文件须包含制造商公章、授权项目编号、有效期及官方联系人，确保授权链完整可溯。质保期后设备维修配件更换只收取成本费用。须提供由原设备生产厂家授权的总代理或者原设备生产厂家针对本项目出具的售后服务承诺书。</w:t>
      </w:r>
    </w:p>
    <w:p w14:paraId="769FEC37">
      <w:pPr>
        <w:spacing w:line="360" w:lineRule="auto"/>
        <w:rPr>
          <w:rFonts w:hint="eastAsia" w:ascii="Times New Roman" w:hAnsi="Times New Roman" w:eastAsia="宋体" w:cs="Times New Roman"/>
          <w:b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bCs/>
          <w:color w:val="000000" w:themeColor="text1"/>
          <w:kern w:val="0"/>
          <w:sz w:val="21"/>
          <w:szCs w:val="21"/>
          <w:lang w:val="en-US" w:eastAsia="zh-CN" w:bidi="ar-SA"/>
          <w14:textFill>
            <w14:solidFill>
              <w14:schemeClr w14:val="tx1"/>
            </w14:solidFill>
          </w14:textFill>
        </w:rPr>
        <w:t>9、对招标人的服务通知，中标人在接报后 24 小时内响应， 48 小时内到达现场， 72 小时内处理完毕。若在 72 小时内仍未能有效解决，则自取走故障件之日起，3个工作日内提供备品以保证业务正常开展，若无法按时修复或如期提供备品造成停机，则按1:2延长保修期(即停机1天，延长保修期2天，如停用时间累计超过60天则保修期重新计算。)，若完全不能修复则由中标人免费更换同款整机。</w:t>
      </w:r>
    </w:p>
    <w:p w14:paraId="337D7580">
      <w:pPr>
        <w:spacing w:line="360" w:lineRule="auto"/>
        <w:rPr>
          <w:rFonts w:hint="eastAsia" w:ascii="Times New Roman" w:hAnsi="Times New Roman" w:eastAsia="宋体" w:cs="Times New Roman"/>
          <w:bCs/>
          <w:color w:val="FF0000"/>
          <w:kern w:val="0"/>
          <w:sz w:val="21"/>
          <w:szCs w:val="21"/>
          <w:lang w:val="en-US" w:eastAsia="zh-CN" w:bidi="ar-SA"/>
        </w:rPr>
      </w:pPr>
      <w:r>
        <w:rPr>
          <w:rFonts w:hint="eastAsia" w:ascii="Times New Roman" w:hAnsi="Times New Roman" w:eastAsia="宋体" w:cs="Times New Roman"/>
          <w:bCs/>
          <w:color w:val="FF0000"/>
          <w:kern w:val="0"/>
          <w:sz w:val="21"/>
          <w:szCs w:val="21"/>
          <w:lang w:val="en-US" w:eastAsia="zh-CN" w:bidi="ar-SA"/>
        </w:rPr>
        <w:t>★10、中标人承担设备首次计量费用。</w:t>
      </w:r>
    </w:p>
    <w:p w14:paraId="5210087F">
      <w:pPr>
        <w:spacing w:line="360" w:lineRule="auto"/>
        <w:rPr>
          <w:rFonts w:hint="eastAsia" w:ascii="Times New Roman" w:hAnsi="Times New Roman" w:eastAsia="宋体" w:cs="Times New Roman"/>
          <w:bCs/>
          <w:color w:val="FF0000"/>
          <w:kern w:val="0"/>
          <w:sz w:val="21"/>
          <w:szCs w:val="21"/>
          <w:lang w:val="en-US" w:eastAsia="zh-CN" w:bidi="ar-SA"/>
        </w:rPr>
      </w:pPr>
    </w:p>
    <w:p w14:paraId="4E5C57CF">
      <w:pPr>
        <w:spacing w:line="276" w:lineRule="auto"/>
        <w:ind w:left="-141" w:leftChars="-67"/>
        <w:jc w:val="center"/>
        <w:rPr>
          <w:rFonts w:hint="default" w:ascii="Times New Roman" w:hAnsi="Times New Roman" w:eastAsia="宋体" w:cs="Times New Roman"/>
          <w:b/>
          <w:color w:val="000000" w:themeColor="text1"/>
          <w:kern w:val="0"/>
          <w:sz w:val="24"/>
          <w:szCs w:val="24"/>
          <w:lang w:val="en-US" w:eastAsia="zh-CN"/>
          <w14:textFill>
            <w14:solidFill>
              <w14:schemeClr w14:val="tx1"/>
            </w14:solidFill>
          </w14:textFill>
        </w:rPr>
      </w:pPr>
      <w:r>
        <w:rPr>
          <w:rFonts w:hint="eastAsia" w:ascii="Times New Roman" w:hAnsi="Times New Roman" w:eastAsia="宋体" w:cs="Times New Roman"/>
          <w:b/>
          <w:color w:val="000000" w:themeColor="text1"/>
          <w:kern w:val="0"/>
          <w:sz w:val="24"/>
          <w:szCs w:val="24"/>
          <w:lang w:val="en-US" w:eastAsia="zh-CN"/>
          <w14:textFill>
            <w14:solidFill>
              <w14:schemeClr w14:val="tx1"/>
            </w14:solidFill>
          </w14:textFill>
        </w:rPr>
        <w:t>包组2 辐射治疗仪</w:t>
      </w:r>
      <w:r>
        <w:rPr>
          <w:rFonts w:ascii="Times New Roman" w:hAnsi="Times New Roman" w:eastAsia="宋体" w:cs="Times New Roman"/>
          <w:b/>
          <w:color w:val="000000" w:themeColor="text1"/>
          <w:kern w:val="0"/>
          <w:sz w:val="24"/>
          <w:szCs w:val="24"/>
          <w14:textFill>
            <w14:solidFill>
              <w14:schemeClr w14:val="tx1"/>
            </w14:solidFill>
          </w14:textFill>
        </w:rPr>
        <w:t xml:space="preserve"> </w:t>
      </w:r>
      <w:r>
        <w:rPr>
          <w:rFonts w:hint="eastAsia" w:ascii="Times New Roman" w:hAnsi="Times New Roman" w:eastAsia="宋体" w:cs="Times New Roman"/>
          <w:b/>
          <w:color w:val="000000" w:themeColor="text1"/>
          <w:kern w:val="0"/>
          <w:sz w:val="24"/>
          <w:szCs w:val="24"/>
          <w:lang w:val="en-US" w:eastAsia="zh-CN"/>
          <w14:textFill>
            <w14:solidFill>
              <w14:schemeClr w14:val="tx1"/>
            </w14:solidFill>
          </w14:textFill>
        </w:rPr>
        <w:t>1台 限价9.6万元</w:t>
      </w:r>
    </w:p>
    <w:p w14:paraId="3AB4AE7C">
      <w:pPr>
        <w:numPr>
          <w:ilvl w:val="0"/>
          <w:numId w:val="0"/>
        </w:numPr>
        <w:spacing w:line="276" w:lineRule="auto"/>
        <w:ind w:left="-141" w:leftChars="-67"/>
        <w:jc w:val="left"/>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一、</w:t>
      </w:r>
      <w:r>
        <w:rPr>
          <w:rFonts w:hint="eastAsia" w:ascii="Times New Roman" w:hAnsi="Times New Roman" w:eastAsia="宋体" w:cs="Times New Roman"/>
          <w:b/>
          <w:color w:val="000000" w:themeColor="text1"/>
          <w:kern w:val="0"/>
          <w:sz w:val="24"/>
          <w:szCs w:val="24"/>
          <w:lang w:val="en-US" w:eastAsia="zh-CN"/>
          <w14:textFill>
            <w14:solidFill>
              <w14:schemeClr w14:val="tx1"/>
            </w14:solidFill>
          </w14:textFill>
        </w:rPr>
        <w:t xml:space="preserve">基本要求  </w:t>
      </w:r>
    </w:p>
    <w:p w14:paraId="6EDF7BD4">
      <w:pPr>
        <w:numPr>
          <w:ilvl w:val="0"/>
          <w:numId w:val="0"/>
        </w:numPr>
        <w:spacing w:line="276" w:lineRule="auto"/>
        <w:jc w:val="left"/>
        <w:rPr>
          <w:rFonts w:hint="eastAsia"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1、</w:t>
      </w:r>
      <w:r>
        <w:rPr>
          <w:rFonts w:hint="eastAsia" w:ascii="Times New Roman" w:hAnsi="Times New Roman" w:eastAsia="宋体" w:cs="Times New Roman"/>
          <w:color w:val="000000" w:themeColor="text1"/>
          <w:szCs w:val="21"/>
          <w:lang w:val="en-US" w:eastAsia="zh-CN"/>
          <w14:textFill>
            <w14:solidFill>
              <w14:schemeClr w14:val="tx1"/>
            </w14:solidFill>
          </w14:textFill>
        </w:rPr>
        <w:t xml:space="preserve">名称：辐射治疗仪 </w:t>
      </w:r>
    </w:p>
    <w:p w14:paraId="4686446F">
      <w:pPr>
        <w:numPr>
          <w:ilvl w:val="0"/>
          <w:numId w:val="0"/>
        </w:numPr>
        <w:spacing w:line="276" w:lineRule="auto"/>
        <w:jc w:val="left"/>
        <w:rPr>
          <w:rFonts w:hint="eastAsia"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2、</w:t>
      </w:r>
      <w:r>
        <w:rPr>
          <w:rFonts w:hint="eastAsia" w:ascii="Times New Roman" w:hAnsi="Times New Roman" w:eastAsia="宋体" w:cs="Times New Roman"/>
          <w:color w:val="000000" w:themeColor="text1"/>
          <w:szCs w:val="21"/>
          <w:lang w:val="en-US" w:eastAsia="zh-CN"/>
          <w14:textFill>
            <w14:solidFill>
              <w14:schemeClr w14:val="tx1"/>
            </w14:solidFill>
          </w14:textFill>
        </w:rPr>
        <w:t>数量：1台</w:t>
      </w:r>
    </w:p>
    <w:p w14:paraId="2CE7C3DE">
      <w:pPr>
        <w:numPr>
          <w:ilvl w:val="0"/>
          <w:numId w:val="0"/>
        </w:numPr>
        <w:spacing w:line="276" w:lineRule="auto"/>
        <w:jc w:val="left"/>
        <w:rPr>
          <w:rFonts w:hint="eastAsia"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3、用途：用于镇痛消炎、促进组织修复和炎性痤疮</w:t>
      </w:r>
    </w:p>
    <w:p w14:paraId="7610A162">
      <w:pPr>
        <w:numPr>
          <w:ilvl w:val="0"/>
          <w:numId w:val="0"/>
        </w:numPr>
        <w:spacing w:line="276" w:lineRule="auto"/>
        <w:jc w:val="left"/>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4</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w:t>
      </w: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货期：签订合同一个月内</w:t>
      </w:r>
    </w:p>
    <w:p w14:paraId="2D18024C">
      <w:pPr>
        <w:spacing w:line="276" w:lineRule="auto"/>
        <w:ind w:left="-141" w:leftChars="-67"/>
        <w:jc w:val="left"/>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二、主要技术要求（达到或优于）</w:t>
      </w:r>
    </w:p>
    <w:p w14:paraId="1173B318">
      <w:pPr>
        <w:numPr>
          <w:ilvl w:val="0"/>
          <w:numId w:val="0"/>
        </w:numPr>
        <w:spacing w:line="276" w:lineRule="auto"/>
        <w:jc w:val="left"/>
        <w:rPr>
          <w:rFonts w:hint="eastAsia" w:ascii="宋体" w:hAnsi="宋体" w:eastAsia="宋体" w:cs="宋体"/>
          <w:kern w:val="0"/>
          <w:sz w:val="21"/>
          <w:szCs w:val="21"/>
        </w:rPr>
      </w:pPr>
      <w:r>
        <w:rPr>
          <w:rFonts w:hint="eastAsia" w:ascii="宋体" w:hAnsi="宋体" w:eastAsia="宋体" w:cs="宋体"/>
          <w:kern w:val="0"/>
          <w:sz w:val="21"/>
          <w:szCs w:val="21"/>
        </w:rPr>
        <w:t>▲</w:t>
      </w:r>
      <w:r>
        <w:rPr>
          <w:rFonts w:hint="eastAsia" w:ascii="宋体" w:hAnsi="宋体" w:eastAsia="宋体" w:cs="宋体"/>
          <w:kern w:val="0"/>
          <w:sz w:val="21"/>
          <w:szCs w:val="21"/>
          <w:lang w:val="en-US" w:eastAsia="zh-CN"/>
        </w:rPr>
        <w:t>1、</w:t>
      </w:r>
      <w:r>
        <w:rPr>
          <w:rFonts w:hint="eastAsia" w:ascii="宋体" w:hAnsi="宋体" w:eastAsia="宋体" w:cs="宋体"/>
          <w:kern w:val="0"/>
          <w:sz w:val="21"/>
          <w:szCs w:val="21"/>
        </w:rPr>
        <w:t>波长：6</w:t>
      </w:r>
      <w:r>
        <w:rPr>
          <w:rFonts w:hint="eastAsia" w:ascii="宋体" w:hAnsi="宋体" w:eastAsia="宋体" w:cs="宋体"/>
          <w:kern w:val="0"/>
          <w:sz w:val="21"/>
          <w:szCs w:val="21"/>
          <w:lang w:val="en-US" w:eastAsia="zh-CN"/>
        </w:rPr>
        <w:t>33</w:t>
      </w:r>
      <w:r>
        <w:rPr>
          <w:rFonts w:hint="eastAsia" w:ascii="宋体" w:hAnsi="宋体" w:eastAsia="宋体" w:cs="宋体"/>
          <w:kern w:val="0"/>
          <w:sz w:val="21"/>
          <w:szCs w:val="21"/>
        </w:rPr>
        <w:t>nm±</w:t>
      </w:r>
      <w:r>
        <w:rPr>
          <w:rFonts w:hint="eastAsia" w:ascii="宋体" w:hAnsi="宋体" w:eastAsia="宋体" w:cs="宋体"/>
          <w:kern w:val="0"/>
          <w:sz w:val="21"/>
          <w:szCs w:val="21"/>
          <w:lang w:val="en-US" w:eastAsia="zh-CN"/>
        </w:rPr>
        <w:t>5</w:t>
      </w:r>
      <w:r>
        <w:rPr>
          <w:rFonts w:hint="eastAsia" w:ascii="宋体" w:hAnsi="宋体" w:eastAsia="宋体" w:cs="宋体"/>
          <w:kern w:val="0"/>
          <w:sz w:val="21"/>
          <w:szCs w:val="21"/>
        </w:rPr>
        <w:t>nm</w:t>
      </w:r>
      <w:r>
        <w:rPr>
          <w:rFonts w:hint="eastAsia" w:ascii="宋体" w:hAnsi="宋体" w:eastAsia="宋体" w:cs="宋体"/>
          <w:kern w:val="0"/>
          <w:sz w:val="21"/>
          <w:szCs w:val="21"/>
          <w:lang w:eastAsia="zh-CN"/>
        </w:rPr>
        <w:t>、450nm±10nm</w:t>
      </w:r>
    </w:p>
    <w:p w14:paraId="1D094BAC">
      <w:pPr>
        <w:numPr>
          <w:ilvl w:val="0"/>
          <w:numId w:val="0"/>
        </w:numPr>
        <w:spacing w:line="276" w:lineRule="auto"/>
        <w:ind w:firstLine="210" w:firstLineChars="100"/>
        <w:jc w:val="left"/>
        <w:rPr>
          <w:rFonts w:hint="eastAsia" w:ascii="宋体" w:hAnsi="宋体" w:eastAsia="宋体" w:cs="宋体"/>
          <w:kern w:val="0"/>
          <w:sz w:val="21"/>
          <w:szCs w:val="21"/>
          <w:highlight w:val="yellow"/>
        </w:rPr>
      </w:pPr>
      <w:r>
        <w:rPr>
          <w:rFonts w:hint="eastAsia" w:ascii="宋体" w:hAnsi="宋体" w:eastAsia="宋体" w:cs="宋体"/>
          <w:kern w:val="0"/>
          <w:sz w:val="21"/>
          <w:szCs w:val="21"/>
          <w:lang w:val="en-US" w:eastAsia="zh-CN"/>
        </w:rPr>
        <w:t>2、</w:t>
      </w:r>
      <w:r>
        <w:rPr>
          <w:rFonts w:hint="eastAsia" w:ascii="宋体" w:hAnsi="宋体" w:eastAsia="宋体" w:cs="宋体"/>
          <w:kern w:val="0"/>
          <w:sz w:val="21"/>
          <w:szCs w:val="21"/>
        </w:rPr>
        <w:t>输出强度：</w:t>
      </w:r>
      <w:r>
        <w:rPr>
          <w:rFonts w:hint="eastAsia" w:ascii="宋体" w:hAnsi="宋体" w:eastAsia="宋体" w:cs="宋体"/>
          <w:kern w:val="0"/>
          <w:sz w:val="21"/>
          <w:szCs w:val="21"/>
          <w:lang w:eastAsia="zh-CN"/>
        </w:rPr>
        <w:t>50mW/cm²～80mW/cm²</w:t>
      </w:r>
      <w:r>
        <w:rPr>
          <w:rFonts w:hint="eastAsia"/>
          <w:sz w:val="21"/>
          <w:szCs w:val="21"/>
          <w:lang w:eastAsia="zh-CN"/>
        </w:rPr>
        <w:t>，</w:t>
      </w:r>
      <w:r>
        <w:rPr>
          <w:rFonts w:hint="eastAsia" w:ascii="宋体" w:hAnsi="宋体" w:eastAsia="宋体" w:cs="宋体"/>
          <w:kern w:val="0"/>
          <w:sz w:val="21"/>
          <w:szCs w:val="21"/>
          <w:lang w:val="en-US" w:eastAsia="zh-CN"/>
        </w:rPr>
        <w:t>60mW/cm²～90mW/cm²</w:t>
      </w:r>
    </w:p>
    <w:p w14:paraId="0BE9B716">
      <w:pPr>
        <w:numPr>
          <w:ilvl w:val="0"/>
          <w:numId w:val="0"/>
        </w:numPr>
        <w:spacing w:line="276" w:lineRule="auto"/>
        <w:ind w:firstLine="210" w:firstLineChars="100"/>
        <w:jc w:val="left"/>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3、</w:t>
      </w:r>
      <w:r>
        <w:rPr>
          <w:rFonts w:hint="eastAsia" w:ascii="宋体" w:hAnsi="宋体" w:eastAsia="宋体" w:cs="宋体"/>
          <w:kern w:val="0"/>
          <w:sz w:val="21"/>
          <w:szCs w:val="21"/>
        </w:rPr>
        <w:t>脉冲频率：2Hz±1Hz</w:t>
      </w:r>
    </w:p>
    <w:p w14:paraId="0A37718A">
      <w:pPr>
        <w:numPr>
          <w:ilvl w:val="0"/>
          <w:numId w:val="0"/>
        </w:numPr>
        <w:spacing w:line="276" w:lineRule="auto"/>
        <w:ind w:firstLine="210" w:firstLineChars="100"/>
        <w:jc w:val="left"/>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4、</w:t>
      </w:r>
      <w:r>
        <w:rPr>
          <w:rFonts w:hint="eastAsia" w:ascii="宋体" w:hAnsi="宋体" w:eastAsia="宋体" w:cs="宋体"/>
          <w:kern w:val="0"/>
          <w:sz w:val="21"/>
          <w:szCs w:val="21"/>
        </w:rPr>
        <w:t>脉冲宽度：250ms±10ms</w:t>
      </w:r>
    </w:p>
    <w:p w14:paraId="2FC0E08E">
      <w:pPr>
        <w:numPr>
          <w:ilvl w:val="0"/>
          <w:numId w:val="0"/>
        </w:numPr>
        <w:spacing w:line="276" w:lineRule="auto"/>
        <w:jc w:val="left"/>
        <w:rPr>
          <w:rFonts w:hint="eastAsia" w:ascii="宋体" w:hAnsi="宋体" w:eastAsia="宋体" w:cs="宋体"/>
          <w:kern w:val="0"/>
          <w:sz w:val="21"/>
          <w:szCs w:val="21"/>
        </w:rPr>
      </w:pPr>
      <w:r>
        <w:rPr>
          <w:rFonts w:hint="eastAsia" w:ascii="宋体" w:hAnsi="宋体" w:eastAsia="宋体" w:cs="宋体"/>
          <w:kern w:val="0"/>
          <w:sz w:val="21"/>
          <w:szCs w:val="21"/>
        </w:rPr>
        <w:t>▲</w:t>
      </w:r>
      <w:r>
        <w:rPr>
          <w:rFonts w:hint="eastAsia" w:ascii="宋体" w:hAnsi="宋体" w:eastAsia="宋体" w:cs="宋体"/>
          <w:kern w:val="0"/>
          <w:sz w:val="21"/>
          <w:szCs w:val="21"/>
          <w:lang w:val="en-US" w:eastAsia="zh-CN"/>
        </w:rPr>
        <w:t>5、</w:t>
      </w:r>
      <w:r>
        <w:rPr>
          <w:rFonts w:hint="eastAsia" w:ascii="宋体" w:hAnsi="宋体" w:eastAsia="宋体" w:cs="宋体"/>
          <w:kern w:val="0"/>
          <w:sz w:val="21"/>
          <w:szCs w:val="21"/>
        </w:rPr>
        <w:t>定时范围：1～99min，步长1min</w:t>
      </w:r>
    </w:p>
    <w:p w14:paraId="5F2DD229">
      <w:pPr>
        <w:numPr>
          <w:ilvl w:val="0"/>
          <w:numId w:val="0"/>
        </w:numPr>
        <w:spacing w:line="276" w:lineRule="auto"/>
        <w:ind w:firstLine="210" w:firstLineChars="100"/>
        <w:jc w:val="left"/>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6、出光口</w:t>
      </w:r>
      <w:r>
        <w:rPr>
          <w:rFonts w:hint="eastAsia" w:ascii="宋体" w:hAnsi="宋体" w:eastAsia="宋体" w:cs="宋体"/>
          <w:kern w:val="0"/>
          <w:sz w:val="21"/>
          <w:szCs w:val="21"/>
        </w:rPr>
        <w:t>面积：</w:t>
      </w:r>
      <w:r>
        <w:rPr>
          <w:rFonts w:hint="eastAsia" w:ascii="宋体" w:hAnsi="宋体" w:eastAsia="宋体" w:cs="宋体"/>
          <w:kern w:val="0"/>
          <w:sz w:val="21"/>
          <w:szCs w:val="21"/>
          <w:lang w:val="en-US" w:eastAsia="zh-CN"/>
        </w:rPr>
        <w:t>≥700cm2，</w:t>
      </w:r>
      <w:r>
        <w:rPr>
          <w:rFonts w:hint="eastAsia" w:ascii="宋体" w:hAnsi="宋体" w:eastAsia="宋体" w:cs="宋体"/>
          <w:kern w:val="0"/>
          <w:sz w:val="21"/>
          <w:szCs w:val="21"/>
        </w:rPr>
        <w:t>治疗头有</w:t>
      </w:r>
      <w:r>
        <w:rPr>
          <w:rFonts w:hint="eastAsia" w:ascii="宋体" w:hAnsi="宋体" w:eastAsia="宋体" w:cs="宋体"/>
          <w:kern w:val="0"/>
          <w:sz w:val="21"/>
          <w:szCs w:val="21"/>
          <w:lang w:val="en-US" w:eastAsia="zh-CN"/>
        </w:rPr>
        <w:t>≥</w:t>
      </w:r>
      <w:r>
        <w:rPr>
          <w:rFonts w:hint="eastAsia" w:ascii="宋体" w:hAnsi="宋体" w:eastAsia="宋体" w:cs="宋体"/>
          <w:kern w:val="0"/>
          <w:sz w:val="21"/>
          <w:szCs w:val="21"/>
        </w:rPr>
        <w:t>5个发光瓣，可根据患处调节光源角度</w:t>
      </w:r>
    </w:p>
    <w:p w14:paraId="0D959D2B">
      <w:pPr>
        <w:numPr>
          <w:ilvl w:val="0"/>
          <w:numId w:val="0"/>
        </w:numPr>
        <w:spacing w:line="276" w:lineRule="auto"/>
        <w:ind w:firstLine="210" w:firstLineChars="100"/>
        <w:jc w:val="left"/>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7、</w:t>
      </w:r>
      <w:r>
        <w:rPr>
          <w:rFonts w:hint="eastAsia" w:ascii="宋体" w:hAnsi="宋体" w:eastAsia="宋体" w:cs="宋体"/>
          <w:kern w:val="0"/>
          <w:sz w:val="21"/>
          <w:szCs w:val="21"/>
        </w:rPr>
        <w:t>照射方式：具有连续、脉冲2种可调模式</w:t>
      </w:r>
    </w:p>
    <w:p w14:paraId="302AD1B3">
      <w:pPr>
        <w:numPr>
          <w:ilvl w:val="0"/>
          <w:numId w:val="0"/>
        </w:numPr>
        <w:spacing w:line="276" w:lineRule="auto"/>
        <w:ind w:firstLine="210" w:firstLineChars="100"/>
        <w:jc w:val="left"/>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8、</w:t>
      </w:r>
      <w:r>
        <w:rPr>
          <w:rFonts w:hint="eastAsia" w:ascii="宋体" w:hAnsi="宋体" w:eastAsia="宋体" w:cs="宋体"/>
          <w:kern w:val="0"/>
          <w:sz w:val="21"/>
          <w:szCs w:val="21"/>
        </w:rPr>
        <w:t>光疗模块连续输出强度不稳定度＜10%</w:t>
      </w:r>
    </w:p>
    <w:p w14:paraId="7F72E516">
      <w:pPr>
        <w:numPr>
          <w:ilvl w:val="0"/>
          <w:numId w:val="0"/>
        </w:numPr>
        <w:spacing w:line="276" w:lineRule="auto"/>
        <w:ind w:firstLine="210" w:firstLineChars="100"/>
        <w:jc w:val="left"/>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9、</w:t>
      </w:r>
      <w:r>
        <w:rPr>
          <w:rFonts w:hint="eastAsia" w:ascii="宋体" w:hAnsi="宋体" w:eastAsia="宋体" w:cs="宋体"/>
          <w:kern w:val="0"/>
          <w:sz w:val="21"/>
          <w:szCs w:val="21"/>
        </w:rPr>
        <w:t>显示屏：8</w:t>
      </w:r>
      <w:r>
        <w:rPr>
          <w:rFonts w:hint="eastAsia" w:ascii="宋体" w:hAnsi="宋体" w:eastAsia="宋体" w:cs="宋体"/>
          <w:kern w:val="0"/>
          <w:sz w:val="21"/>
          <w:szCs w:val="21"/>
          <w:lang w:val="en-US" w:eastAsia="zh-CN"/>
        </w:rPr>
        <w:t>英寸触控</w:t>
      </w:r>
      <w:r>
        <w:rPr>
          <w:rFonts w:hint="eastAsia" w:ascii="宋体" w:hAnsi="宋体" w:eastAsia="宋体" w:cs="宋体"/>
          <w:kern w:val="0"/>
          <w:sz w:val="21"/>
          <w:szCs w:val="21"/>
        </w:rPr>
        <w:t>显示屏</w:t>
      </w:r>
    </w:p>
    <w:p w14:paraId="418E22D5">
      <w:pPr>
        <w:numPr>
          <w:ilvl w:val="0"/>
          <w:numId w:val="0"/>
        </w:numPr>
        <w:spacing w:line="276" w:lineRule="auto"/>
        <w:ind w:firstLine="210" w:firstLineChars="100"/>
        <w:jc w:val="left"/>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10、具备温度指示功能，</w:t>
      </w:r>
      <w:r>
        <w:rPr>
          <w:rFonts w:hint="eastAsia" w:ascii="宋体" w:hAnsi="宋体" w:eastAsia="宋体" w:cs="宋体"/>
          <w:kern w:val="0"/>
          <w:sz w:val="21"/>
          <w:szCs w:val="21"/>
        </w:rPr>
        <w:t>可在显示面板中显示实时治疗温度</w:t>
      </w:r>
    </w:p>
    <w:p w14:paraId="66B31411">
      <w:pPr>
        <w:numPr>
          <w:ilvl w:val="0"/>
          <w:numId w:val="0"/>
        </w:numPr>
        <w:spacing w:line="276" w:lineRule="auto"/>
        <w:ind w:firstLine="210" w:firstLineChars="100"/>
        <w:jc w:val="left"/>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11、显示屏可实时</w:t>
      </w:r>
      <w:r>
        <w:rPr>
          <w:rFonts w:hint="eastAsia" w:ascii="宋体" w:hAnsi="宋体" w:eastAsia="宋体" w:cs="宋体"/>
          <w:kern w:val="0"/>
          <w:sz w:val="21"/>
          <w:szCs w:val="21"/>
        </w:rPr>
        <w:t>显示治疗模块信息（包含但不限于治疗模块型号、使用治疗时间、使用治疗次数）</w:t>
      </w:r>
    </w:p>
    <w:p w14:paraId="1A5BB652">
      <w:pPr>
        <w:numPr>
          <w:ilvl w:val="0"/>
          <w:numId w:val="0"/>
        </w:numPr>
        <w:spacing w:line="276" w:lineRule="auto"/>
        <w:jc w:val="left"/>
        <w:rPr>
          <w:rFonts w:hint="eastAsia" w:ascii="宋体" w:hAnsi="宋体" w:eastAsia="宋体" w:cs="宋体"/>
          <w:kern w:val="0"/>
          <w:sz w:val="21"/>
          <w:szCs w:val="21"/>
        </w:rPr>
      </w:pPr>
      <w:r>
        <w:rPr>
          <w:rFonts w:hint="eastAsia" w:ascii="宋体" w:hAnsi="宋体" w:eastAsia="宋体" w:cs="宋体"/>
          <w:kern w:val="0"/>
          <w:sz w:val="21"/>
          <w:szCs w:val="21"/>
        </w:rPr>
        <w:t>▲</w:t>
      </w:r>
      <w:r>
        <w:rPr>
          <w:rFonts w:hint="eastAsia" w:ascii="宋体" w:hAnsi="宋体" w:eastAsia="宋体" w:cs="宋体"/>
          <w:kern w:val="0"/>
          <w:sz w:val="21"/>
          <w:szCs w:val="21"/>
          <w:lang w:val="en-US" w:eastAsia="zh-CN"/>
        </w:rPr>
        <w:t>12、</w:t>
      </w:r>
      <w:r>
        <w:rPr>
          <w:rFonts w:hint="eastAsia" w:ascii="宋体" w:hAnsi="宋体" w:eastAsia="宋体" w:cs="宋体"/>
          <w:kern w:val="0"/>
          <w:sz w:val="21"/>
          <w:szCs w:val="21"/>
        </w:rPr>
        <w:t>具有可升级功能，可选配以下光疗模块</w:t>
      </w:r>
      <w:bookmarkStart w:id="0" w:name="_GoBack"/>
      <w:bookmarkEnd w:id="0"/>
    </w:p>
    <w:p w14:paraId="7FD38FBC">
      <w:pPr>
        <w:numPr>
          <w:ilvl w:val="0"/>
          <w:numId w:val="0"/>
        </w:numPr>
        <w:spacing w:line="276" w:lineRule="auto"/>
        <w:ind w:firstLine="210" w:firstLineChars="100"/>
        <w:jc w:val="left"/>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13、</w:t>
      </w:r>
      <w:r>
        <w:rPr>
          <w:rFonts w:hint="eastAsia" w:ascii="宋体" w:hAnsi="宋体" w:eastAsia="宋体" w:cs="宋体"/>
          <w:kern w:val="0"/>
          <w:sz w:val="21"/>
          <w:szCs w:val="21"/>
        </w:rPr>
        <w:t>设备具备一键急停开关：用于紧急或突发情况下停止治疗。</w:t>
      </w:r>
    </w:p>
    <w:p w14:paraId="6E5C68BC">
      <w:pPr>
        <w:numPr>
          <w:ilvl w:val="0"/>
          <w:numId w:val="0"/>
        </w:numPr>
        <w:spacing w:line="276" w:lineRule="auto"/>
        <w:ind w:firstLine="210" w:firstLineChars="100"/>
        <w:jc w:val="left"/>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14、</w:t>
      </w:r>
      <w:r>
        <w:rPr>
          <w:rFonts w:hint="eastAsia" w:ascii="宋体" w:hAnsi="宋体" w:eastAsia="宋体" w:cs="宋体"/>
          <w:kern w:val="0"/>
          <w:sz w:val="21"/>
          <w:szCs w:val="21"/>
        </w:rPr>
        <w:t>抬升动力系统配置：360°四关节旋转臂</w:t>
      </w:r>
    </w:p>
    <w:p w14:paraId="23C06350">
      <w:pPr>
        <w:numPr>
          <w:ilvl w:val="0"/>
          <w:numId w:val="0"/>
        </w:numPr>
        <w:spacing w:line="276" w:lineRule="auto"/>
        <w:ind w:firstLine="210" w:firstLineChars="100"/>
        <w:jc w:val="left"/>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15、设备设计使用年限：≥10年</w:t>
      </w:r>
    </w:p>
    <w:p w14:paraId="61B67492">
      <w:pPr>
        <w:numPr>
          <w:ilvl w:val="0"/>
          <w:numId w:val="0"/>
        </w:numPr>
        <w:spacing w:line="276" w:lineRule="auto"/>
        <w:ind w:firstLine="210" w:firstLineChars="10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宋体" w:hAnsi="宋体" w:eastAsia="宋体" w:cs="宋体"/>
          <w:kern w:val="0"/>
          <w:sz w:val="21"/>
          <w:szCs w:val="21"/>
          <w:lang w:val="en-US" w:eastAsia="zh-CN"/>
        </w:rPr>
        <w:t>16、配置清单包括但不限于：</w:t>
      </w:r>
      <w:r>
        <w:rPr>
          <w:rFonts w:hint="eastAsia" w:ascii="宋体" w:hAnsi="宋体" w:eastAsia="宋体" w:cs="宋体"/>
          <w:kern w:val="0"/>
          <w:sz w:val="21"/>
          <w:szCs w:val="21"/>
        </w:rPr>
        <w:t>主机</w:t>
      </w:r>
      <w:r>
        <w:rPr>
          <w:rFonts w:hint="eastAsia" w:ascii="宋体" w:hAnsi="宋体" w:eastAsia="宋体" w:cs="宋体"/>
          <w:kern w:val="0"/>
          <w:sz w:val="21"/>
          <w:szCs w:val="21"/>
        </w:rPr>
        <w:tab/>
      </w:r>
      <w:r>
        <w:rPr>
          <w:rFonts w:hint="eastAsia" w:ascii="宋体" w:hAnsi="宋体" w:eastAsia="宋体" w:cs="宋体"/>
          <w:kern w:val="0"/>
          <w:sz w:val="21"/>
          <w:szCs w:val="21"/>
        </w:rPr>
        <w:t>1台</w:t>
      </w:r>
      <w:r>
        <w:rPr>
          <w:rFonts w:hint="eastAsia" w:ascii="宋体" w:hAnsi="宋体" w:eastAsia="宋体" w:cs="宋体"/>
          <w:kern w:val="0"/>
          <w:sz w:val="21"/>
          <w:szCs w:val="21"/>
          <w:lang w:val="en-US" w:eastAsia="zh-CN"/>
        </w:rPr>
        <w:t xml:space="preserve"> </w:t>
      </w:r>
      <w:r>
        <w:rPr>
          <w:rFonts w:hint="eastAsia" w:ascii="宋体" w:hAnsi="宋体" w:eastAsia="宋体" w:cs="宋体"/>
          <w:kern w:val="0"/>
          <w:sz w:val="21"/>
          <w:szCs w:val="21"/>
        </w:rPr>
        <w:t>弯臂</w:t>
      </w:r>
      <w:r>
        <w:rPr>
          <w:rFonts w:hint="eastAsia" w:ascii="宋体" w:hAnsi="宋体" w:eastAsia="宋体" w:cs="宋体"/>
          <w:kern w:val="0"/>
          <w:sz w:val="21"/>
          <w:szCs w:val="21"/>
        </w:rPr>
        <w:tab/>
      </w:r>
      <w:r>
        <w:rPr>
          <w:rFonts w:hint="eastAsia" w:ascii="宋体" w:hAnsi="宋体" w:eastAsia="宋体" w:cs="宋体"/>
          <w:kern w:val="0"/>
          <w:sz w:val="21"/>
          <w:szCs w:val="21"/>
        </w:rPr>
        <w:t>1个</w:t>
      </w:r>
      <w:r>
        <w:rPr>
          <w:rFonts w:hint="eastAsia" w:ascii="宋体" w:hAnsi="宋体" w:eastAsia="宋体" w:cs="宋体"/>
          <w:kern w:val="0"/>
          <w:sz w:val="21"/>
          <w:szCs w:val="21"/>
          <w:lang w:val="en-US" w:eastAsia="zh-CN"/>
        </w:rPr>
        <w:t xml:space="preserve"> 光疗</w:t>
      </w:r>
      <w:r>
        <w:rPr>
          <w:rFonts w:hint="eastAsia" w:ascii="宋体" w:hAnsi="宋体" w:eastAsia="宋体" w:cs="宋体"/>
          <w:kern w:val="0"/>
          <w:sz w:val="21"/>
          <w:szCs w:val="21"/>
        </w:rPr>
        <w:t>模块</w:t>
      </w:r>
      <w:r>
        <w:rPr>
          <w:rFonts w:hint="eastAsia" w:ascii="宋体" w:hAnsi="宋体" w:eastAsia="宋体" w:cs="宋体"/>
          <w:kern w:val="0"/>
          <w:sz w:val="21"/>
          <w:szCs w:val="21"/>
        </w:rPr>
        <w:tab/>
      </w:r>
      <w:r>
        <w:rPr>
          <w:rFonts w:hint="eastAsia" w:ascii="宋体" w:hAnsi="宋体" w:eastAsia="宋体" w:cs="宋体"/>
          <w:kern w:val="0"/>
          <w:sz w:val="21"/>
          <w:szCs w:val="21"/>
        </w:rPr>
        <w:t>1个</w:t>
      </w:r>
      <w:r>
        <w:rPr>
          <w:rFonts w:hint="eastAsia" w:ascii="宋体" w:hAnsi="宋体" w:eastAsia="宋体" w:cs="宋体"/>
          <w:kern w:val="0"/>
          <w:sz w:val="21"/>
          <w:szCs w:val="21"/>
          <w:lang w:val="en-US" w:eastAsia="zh-CN"/>
        </w:rPr>
        <w:t xml:space="preserve"> </w:t>
      </w:r>
      <w:r>
        <w:rPr>
          <w:rFonts w:hint="eastAsia" w:ascii="宋体" w:hAnsi="宋体" w:eastAsia="宋体" w:cs="宋体"/>
          <w:kern w:val="0"/>
          <w:sz w:val="21"/>
          <w:szCs w:val="21"/>
        </w:rPr>
        <w:t>防护眼镜</w:t>
      </w:r>
      <w:r>
        <w:rPr>
          <w:rFonts w:hint="eastAsia" w:ascii="宋体" w:hAnsi="宋体" w:eastAsia="宋体" w:cs="宋体"/>
          <w:kern w:val="0"/>
          <w:sz w:val="21"/>
          <w:szCs w:val="21"/>
        </w:rPr>
        <w:tab/>
      </w:r>
      <w:r>
        <w:rPr>
          <w:rFonts w:hint="eastAsia" w:ascii="宋体" w:hAnsi="宋体" w:eastAsia="宋体" w:cs="宋体"/>
          <w:kern w:val="0"/>
          <w:sz w:val="21"/>
          <w:szCs w:val="21"/>
        </w:rPr>
        <w:t>1副</w:t>
      </w:r>
      <w:r>
        <w:rPr>
          <w:rFonts w:hint="eastAsia" w:ascii="宋体" w:hAnsi="宋体" w:eastAsia="宋体" w:cs="宋体"/>
          <w:kern w:val="0"/>
          <w:sz w:val="21"/>
          <w:szCs w:val="21"/>
          <w:lang w:val="en-US" w:eastAsia="zh-CN"/>
        </w:rPr>
        <w:t xml:space="preserve"> </w:t>
      </w:r>
      <w:r>
        <w:rPr>
          <w:rFonts w:hint="eastAsia" w:ascii="宋体" w:hAnsi="宋体" w:eastAsia="宋体" w:cs="宋体"/>
          <w:kern w:val="0"/>
          <w:sz w:val="21"/>
          <w:szCs w:val="21"/>
        </w:rPr>
        <w:t>防护眼罩</w:t>
      </w:r>
      <w:r>
        <w:rPr>
          <w:rFonts w:hint="eastAsia" w:ascii="宋体" w:hAnsi="宋体" w:eastAsia="宋体" w:cs="宋体"/>
          <w:kern w:val="0"/>
          <w:sz w:val="21"/>
          <w:szCs w:val="21"/>
        </w:rPr>
        <w:tab/>
      </w:r>
      <w:r>
        <w:rPr>
          <w:rFonts w:hint="eastAsia" w:ascii="宋体" w:hAnsi="宋体" w:eastAsia="宋体" w:cs="宋体"/>
          <w:kern w:val="0"/>
          <w:sz w:val="21"/>
          <w:szCs w:val="21"/>
        </w:rPr>
        <w:t>1副</w:t>
      </w:r>
    </w:p>
    <w:p w14:paraId="659913AF">
      <w:pPr>
        <w:numPr>
          <w:ilvl w:val="0"/>
          <w:numId w:val="0"/>
        </w:numPr>
        <w:spacing w:line="276" w:lineRule="auto"/>
        <w:ind w:left="-141" w:leftChars="-67" w:firstLine="0" w:firstLineChars="0"/>
        <w:jc w:val="left"/>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
          <w:bCs/>
          <w:color w:val="000000" w:themeColor="text1"/>
          <w:kern w:val="2"/>
          <w:sz w:val="24"/>
          <w:szCs w:val="24"/>
          <w:lang w:val="en-US" w:eastAsia="zh-CN" w:bidi="ar-SA"/>
          <w14:textFill>
            <w14:solidFill>
              <w14:schemeClr w14:val="tx1"/>
            </w14:solidFill>
          </w14:textFill>
        </w:rPr>
        <w:t>三、</w:t>
      </w: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商务要求</w:t>
      </w:r>
    </w:p>
    <w:p w14:paraId="79CD1445">
      <w:pPr>
        <w:numPr>
          <w:ilvl w:val="0"/>
          <w:numId w:val="0"/>
        </w:numPr>
        <w:spacing w:line="360" w:lineRule="auto"/>
        <w:rPr>
          <w:rFonts w:hint="eastAsia" w:ascii="Times New Roman" w:hAnsi="Times New Roman" w:eastAsia="宋体" w:cs="Times New Roman"/>
          <w:b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bCs/>
          <w:color w:val="000000" w:themeColor="text1"/>
          <w:kern w:val="0"/>
          <w:sz w:val="21"/>
          <w:szCs w:val="21"/>
          <w:lang w:val="en-US" w:eastAsia="zh-CN" w:bidi="ar-SA"/>
          <w14:textFill>
            <w14:solidFill>
              <w14:schemeClr w14:val="tx1"/>
            </w14:solidFill>
          </w14:textFill>
        </w:rPr>
        <w:t>1、中标人必须按项目进度安排计划，派出适当的技术人员到安装现场负责免费安装和调试工作。在安装施工期间，严格遵守用户方的有关规定。</w:t>
      </w:r>
    </w:p>
    <w:p w14:paraId="4D23E411">
      <w:pPr>
        <w:tabs>
          <w:tab w:val="left" w:pos="0"/>
          <w:tab w:val="left" w:pos="420"/>
        </w:tabs>
        <w:spacing w:line="360" w:lineRule="auto"/>
        <w:rPr>
          <w:rFonts w:hint="eastAsia" w:ascii="Times New Roman" w:hAnsi="Times New Roman" w:eastAsia="宋体" w:cs="Times New Roman"/>
          <w:b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bCs/>
          <w:color w:val="000000" w:themeColor="text1"/>
          <w:kern w:val="0"/>
          <w:sz w:val="21"/>
          <w:szCs w:val="21"/>
          <w:lang w:val="en-US" w:eastAsia="zh-CN" w:bidi="ar-SA"/>
          <w14:textFill>
            <w14:solidFill>
              <w14:schemeClr w14:val="tx1"/>
            </w14:solidFill>
          </w14:textFill>
        </w:rPr>
        <w:t>2、安装验收期间，在招标人所在地对招标人进行仪器操作、日常维护、所有检测指标的现场培训，2年内须提供不少于每年1次的上门免费培训服务。培训所需全部费用均已包含在投标报价中。</w:t>
      </w:r>
    </w:p>
    <w:p w14:paraId="20808431">
      <w:pPr>
        <w:numPr>
          <w:ilvl w:val="0"/>
          <w:numId w:val="0"/>
        </w:numPr>
        <w:tabs>
          <w:tab w:val="left" w:pos="0"/>
          <w:tab w:val="left" w:pos="420"/>
        </w:tabs>
        <w:spacing w:line="360" w:lineRule="auto"/>
        <w:rPr>
          <w:rFonts w:hint="eastAsia" w:ascii="Times New Roman" w:hAnsi="Times New Roman" w:eastAsia="宋体" w:cs="Times New Roman"/>
          <w:b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bCs/>
          <w:color w:val="000000" w:themeColor="text1"/>
          <w:kern w:val="0"/>
          <w:sz w:val="21"/>
          <w:szCs w:val="21"/>
          <w:lang w:val="en-US" w:eastAsia="zh-CN" w:bidi="ar-SA"/>
          <w14:textFill>
            <w14:solidFill>
              <w14:schemeClr w14:val="tx1"/>
            </w14:solidFill>
          </w14:textFill>
        </w:rPr>
        <w:t>3、中标人应将关键主机设备的用户手册、保修手册、有关单证资料及配备件、随机工具等交付给采购人，使用操作及安全须知等重要资料应附有中文说明。</w:t>
      </w:r>
    </w:p>
    <w:p w14:paraId="04B493AD">
      <w:pPr>
        <w:numPr>
          <w:ilvl w:val="0"/>
          <w:numId w:val="0"/>
        </w:numPr>
        <w:tabs>
          <w:tab w:val="left" w:pos="0"/>
          <w:tab w:val="left" w:pos="420"/>
        </w:tabs>
        <w:spacing w:line="360" w:lineRule="auto"/>
        <w:rPr>
          <w:rFonts w:hint="eastAsia" w:ascii="Times New Roman" w:hAnsi="Times New Roman" w:eastAsia="宋体" w:cs="Times New Roman"/>
          <w:b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bCs/>
          <w:color w:val="000000" w:themeColor="text1"/>
          <w:kern w:val="0"/>
          <w:sz w:val="21"/>
          <w:szCs w:val="21"/>
          <w:lang w:val="en-US" w:eastAsia="zh-CN" w:bidi="ar-SA"/>
          <w14:textFill>
            <w14:solidFill>
              <w14:schemeClr w14:val="tx1"/>
            </w14:solidFill>
          </w14:textFill>
        </w:rPr>
        <w:t>4、招标人按照采购合同规定的技术、服务、安全标准组织对中标人履约情况进行验收，并出具验收书。验收书应当包括每一项技术、服务、安全标准的履约情况。</w:t>
      </w:r>
    </w:p>
    <w:p w14:paraId="5A5D97FC">
      <w:pPr>
        <w:numPr>
          <w:ilvl w:val="0"/>
          <w:numId w:val="0"/>
        </w:numPr>
        <w:spacing w:line="360" w:lineRule="auto"/>
        <w:rPr>
          <w:rFonts w:hint="eastAsia" w:ascii="Times New Roman" w:hAnsi="Times New Roman" w:eastAsia="宋体" w:cs="Times New Roman"/>
          <w:b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bCs/>
          <w:color w:val="000000" w:themeColor="text1"/>
          <w:kern w:val="0"/>
          <w:sz w:val="21"/>
          <w:szCs w:val="21"/>
          <w:lang w:val="en-US" w:eastAsia="zh-CN" w:bidi="ar-SA"/>
          <w14:textFill>
            <w14:solidFill>
              <w14:schemeClr w14:val="tx1"/>
            </w14:solidFill>
          </w14:textFill>
        </w:rPr>
        <w:t>5、交付验收标准依次序对照适用标准为：①符合中华人民共和国“国家安全质量标准、环保标准或行业标准；”②符合招标文件和响应承诺中招标人认可的合理最佳配置、参数及各项要求；③货物来源国官方标准。货物为原厂商未启封全新包装，具出厂合格证，序列号、包装箱号与出厂批号一致，并可追溯查阅。所有随设备的附件必须齐全。</w:t>
      </w:r>
    </w:p>
    <w:p w14:paraId="3FC07BB4">
      <w:pPr>
        <w:numPr>
          <w:ilvl w:val="0"/>
          <w:numId w:val="0"/>
        </w:numPr>
        <w:spacing w:line="360" w:lineRule="auto"/>
        <w:rPr>
          <w:rFonts w:hint="eastAsia" w:ascii="Times New Roman" w:hAnsi="Times New Roman" w:eastAsia="宋体" w:cs="Times New Roman"/>
          <w:b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bCs/>
          <w:color w:val="000000" w:themeColor="text1"/>
          <w:kern w:val="0"/>
          <w:sz w:val="21"/>
          <w:szCs w:val="21"/>
          <w:lang w:val="en-US" w:eastAsia="zh-CN" w:bidi="ar-SA"/>
          <w14:textFill>
            <w14:solidFill>
              <w14:schemeClr w14:val="tx1"/>
            </w14:solidFill>
          </w14:textFill>
        </w:rPr>
        <w:t>6、中标人将货物的用户手册、保修手册、有关单证资料及备品备件、随机工具等交付给招标人，使用操作及安全须知等重要资料应附有中文说明。货物验收所发生的检验费用由中标人负担。</w:t>
      </w:r>
    </w:p>
    <w:p w14:paraId="7ECA74A9">
      <w:pPr>
        <w:numPr>
          <w:ilvl w:val="0"/>
          <w:numId w:val="0"/>
        </w:numPr>
        <w:spacing w:line="360" w:lineRule="auto"/>
        <w:rPr>
          <w:rFonts w:hint="eastAsia" w:ascii="Times New Roman" w:hAnsi="Times New Roman" w:eastAsia="宋体" w:cs="Times New Roman"/>
          <w:b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bCs/>
          <w:color w:val="000000" w:themeColor="text1"/>
          <w:kern w:val="0"/>
          <w:sz w:val="21"/>
          <w:szCs w:val="21"/>
          <w:lang w:val="en-US" w:eastAsia="zh-CN" w:bidi="ar-SA"/>
          <w14:textFill>
            <w14:solidFill>
              <w14:schemeClr w14:val="tx1"/>
            </w14:solidFill>
          </w14:textFill>
        </w:rPr>
        <w:t>8、中标人负责设备的供货、安装调试、验收，经招标人验收合格方可。</w:t>
      </w:r>
      <w:r>
        <w:rPr>
          <w:rFonts w:hint="eastAsia" w:ascii="Times New Roman" w:hAnsi="Times New Roman" w:eastAsia="宋体" w:cs="Times New Roman"/>
          <w:bCs/>
          <w:color w:val="000000" w:themeColor="text1"/>
          <w:kern w:val="0"/>
          <w:sz w:val="21"/>
          <w:szCs w:val="21"/>
          <w:highlight w:val="yellow"/>
          <w:lang w:val="en-US" w:eastAsia="zh-CN" w:bidi="ar-SA"/>
          <w14:textFill>
            <w14:solidFill>
              <w14:schemeClr w14:val="tx1"/>
            </w14:solidFill>
          </w14:textFill>
        </w:rPr>
        <w:t>质量保证期不少于2 年</w:t>
      </w:r>
      <w:r>
        <w:rPr>
          <w:rFonts w:hint="eastAsia" w:ascii="Times New Roman" w:hAnsi="Times New Roman" w:eastAsia="宋体" w:cs="Times New Roman"/>
          <w:bCs/>
          <w:color w:val="000000" w:themeColor="text1"/>
          <w:kern w:val="0"/>
          <w:sz w:val="21"/>
          <w:szCs w:val="21"/>
          <w:lang w:val="en-US" w:eastAsia="zh-CN" w:bidi="ar-SA"/>
          <w14:textFill>
            <w14:solidFill>
              <w14:schemeClr w14:val="tx1"/>
            </w14:solidFill>
          </w14:textFill>
        </w:rPr>
        <w:t>，自招标人和中标人代表在货物安装调试验收后的验收书上签字之日起计算。“技术要求”中另有要求的，以其中的要求为准。维保服务可由设备制造商或其授权服务商提供，授权文件须包含制造商公章、授权项目编号、有效期及官方联系人，确保授权链完整可溯。质保期后设备维修配件更换只收取成本费用。须提供由原设备生产厂家授权的总代理或者原设备生产厂家针对本项目出具的售后服务承诺书。</w:t>
      </w:r>
    </w:p>
    <w:p w14:paraId="19A4FE2E">
      <w:pPr>
        <w:spacing w:line="360" w:lineRule="auto"/>
        <w:rPr>
          <w:rFonts w:hint="eastAsia" w:ascii="Times New Roman" w:hAnsi="Times New Roman" w:eastAsia="宋体" w:cs="Times New Roman"/>
          <w:b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bCs/>
          <w:color w:val="000000" w:themeColor="text1"/>
          <w:kern w:val="0"/>
          <w:sz w:val="21"/>
          <w:szCs w:val="21"/>
          <w:lang w:val="en-US" w:eastAsia="zh-CN" w:bidi="ar-SA"/>
          <w14:textFill>
            <w14:solidFill>
              <w14:schemeClr w14:val="tx1"/>
            </w14:solidFill>
          </w14:textFill>
        </w:rPr>
        <w:t>9、对招标人的服务通知，中标人在接报后 24 小时内响应， 48 小时内到达现场， 72 小时内处理完毕。若在 72 小时内仍未能有效解决，则自取走故障件之日起，3个工作日内提供备品以保证业务正常开展，若无法按时修复或如期提供备品造成停机，则按1:2延长保修期(即停机1天，延长保修期2天，如停用时间累计超过60天则保修期重新计算。)，若完全不能修复则由中标人免费更换同款整机。</w:t>
      </w:r>
    </w:p>
    <w:p w14:paraId="0F22A896">
      <w:pPr>
        <w:spacing w:line="360" w:lineRule="auto"/>
        <w:rPr>
          <w:rFonts w:hint="eastAsia" w:ascii="Times New Roman" w:hAnsi="Times New Roman" w:eastAsia="宋体" w:cs="Times New Roman"/>
          <w:bCs/>
          <w:color w:val="FF0000"/>
          <w:kern w:val="0"/>
          <w:sz w:val="21"/>
          <w:szCs w:val="21"/>
          <w:lang w:val="en-US" w:eastAsia="zh-CN" w:bidi="ar-SA"/>
        </w:rPr>
      </w:pPr>
      <w:r>
        <w:rPr>
          <w:rFonts w:hint="eastAsia" w:ascii="Times New Roman" w:hAnsi="Times New Roman" w:eastAsia="宋体" w:cs="Times New Roman"/>
          <w:bCs/>
          <w:color w:val="FF0000"/>
          <w:kern w:val="0"/>
          <w:sz w:val="21"/>
          <w:szCs w:val="21"/>
          <w:lang w:val="en-US" w:eastAsia="zh-CN" w:bidi="ar-SA"/>
        </w:rPr>
        <w:t>★10、中标人承担设备首次计量费用。</w:t>
      </w:r>
    </w:p>
    <w:p w14:paraId="4C88789D">
      <w:pPr>
        <w:spacing w:line="360" w:lineRule="auto"/>
        <w:rPr>
          <w:rFonts w:hint="eastAsia" w:ascii="Times New Roman" w:hAnsi="Times New Roman" w:eastAsia="宋体" w:cs="Times New Roman"/>
          <w:bCs/>
          <w:color w:val="FF0000"/>
          <w:kern w:val="0"/>
          <w:sz w:val="21"/>
          <w:szCs w:val="21"/>
          <w:lang w:val="en-US" w:eastAsia="zh-CN" w:bidi="ar-SA"/>
        </w:rPr>
      </w:pPr>
    </w:p>
    <w:p w14:paraId="0BC39782">
      <w:pP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 xml:space="preserve"> </w:t>
      </w:r>
    </w:p>
    <w:p w14:paraId="3E85F682">
      <w:pPr>
        <w:rPr>
          <w:rFonts w:hint="eastAsia" w:ascii="宋体" w:hAnsi="宋体" w:eastAsia="宋体" w:cs="宋体"/>
          <w:i w:val="0"/>
          <w:color w:val="000000"/>
          <w:kern w:val="0"/>
          <w:sz w:val="21"/>
          <w:szCs w:val="21"/>
          <w:highlight w:val="none"/>
          <w:u w:val="none"/>
          <w:lang w:val="en-US" w:eastAsia="zh-CN" w:bidi="ar"/>
        </w:rPr>
      </w:pPr>
    </w:p>
    <w:p w14:paraId="5284223A">
      <w:pPr>
        <w:rPr>
          <w:rFonts w:hint="eastAsia" w:ascii="宋体" w:hAnsi="宋体" w:eastAsia="宋体" w:cs="宋体"/>
          <w:i w:val="0"/>
          <w:color w:val="000000"/>
          <w:kern w:val="0"/>
          <w:sz w:val="21"/>
          <w:szCs w:val="21"/>
          <w:highlight w:val="none"/>
          <w:u w:val="none"/>
          <w:lang w:val="en-US" w:eastAsia="zh-CN" w:bidi="ar"/>
        </w:rPr>
      </w:pPr>
    </w:p>
    <w:p w14:paraId="12FB1A22">
      <w:pPr>
        <w:rPr>
          <w:rFonts w:hint="eastAsia" w:ascii="宋体" w:hAnsi="宋体" w:eastAsia="宋体" w:cs="宋体"/>
          <w:i w:val="0"/>
          <w:color w:val="000000"/>
          <w:kern w:val="0"/>
          <w:sz w:val="21"/>
          <w:szCs w:val="21"/>
          <w:highlight w:val="none"/>
          <w:u w:val="none"/>
          <w:lang w:val="en-US" w:eastAsia="zh-CN" w:bidi="ar"/>
        </w:rPr>
      </w:pPr>
    </w:p>
    <w:p w14:paraId="674F4BED">
      <w:pPr>
        <w:rPr>
          <w:rFonts w:hint="eastAsia" w:ascii="宋体" w:hAnsi="宋体" w:eastAsia="宋体" w:cs="宋体"/>
          <w:i w:val="0"/>
          <w:color w:val="000000"/>
          <w:kern w:val="0"/>
          <w:sz w:val="21"/>
          <w:szCs w:val="21"/>
          <w:highlight w:val="none"/>
          <w:u w:val="none"/>
          <w:lang w:val="en-US" w:eastAsia="zh-CN" w:bidi="ar"/>
        </w:rPr>
      </w:pPr>
    </w:p>
    <w:p w14:paraId="414A4AB5">
      <w:pPr>
        <w:rPr>
          <w:rFonts w:hint="eastAsia" w:ascii="宋体" w:hAnsi="宋体" w:eastAsia="宋体" w:cs="宋体"/>
          <w:i w:val="0"/>
          <w:color w:val="000000"/>
          <w:kern w:val="0"/>
          <w:sz w:val="21"/>
          <w:szCs w:val="21"/>
          <w:highlight w:val="none"/>
          <w:u w:val="none"/>
          <w:lang w:val="en-US" w:eastAsia="zh-CN" w:bidi="ar"/>
        </w:rPr>
      </w:pPr>
    </w:p>
    <w:p w14:paraId="14D42E0F">
      <w:pPr>
        <w:rPr>
          <w:rFonts w:hint="eastAsia" w:ascii="宋体" w:hAnsi="宋体" w:eastAsia="宋体" w:cs="宋体"/>
          <w:i w:val="0"/>
          <w:color w:val="000000"/>
          <w:kern w:val="0"/>
          <w:sz w:val="21"/>
          <w:szCs w:val="21"/>
          <w:highlight w:val="none"/>
          <w:u w:val="none"/>
          <w:lang w:val="en-US" w:eastAsia="zh-CN" w:bidi="ar"/>
        </w:rPr>
      </w:pPr>
    </w:p>
    <w:p w14:paraId="30B5EE4B">
      <w:pP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 xml:space="preserve"> </w:t>
      </w:r>
    </w:p>
    <w:p w14:paraId="41D810CF">
      <w:pP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 xml:space="preserve"> </w:t>
      </w:r>
    </w:p>
    <w:p w14:paraId="4D569A3D">
      <w:pP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 xml:space="preserve"> </w:t>
      </w:r>
    </w:p>
    <w:p w14:paraId="76F8E715">
      <w:pP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 xml:space="preserve"> </w:t>
      </w:r>
    </w:p>
    <w:p w14:paraId="2FD2286D">
      <w:pP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 xml:space="preserve"> </w:t>
      </w:r>
    </w:p>
    <w:p w14:paraId="198FB647">
      <w:pP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 xml:space="preserve"> </w:t>
      </w:r>
    </w:p>
    <w:p w14:paraId="4C2066D2">
      <w:pP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 xml:space="preserve"> </w:t>
      </w:r>
    </w:p>
    <w:p w14:paraId="31F81CF6">
      <w:pP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 xml:space="preserve"> </w:t>
      </w:r>
    </w:p>
    <w:p w14:paraId="156A91F0">
      <w:pP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 xml:space="preserve"> </w:t>
      </w:r>
    </w:p>
    <w:p w14:paraId="5CB9181B">
      <w:pPr>
        <w:spacing w:line="276" w:lineRule="auto"/>
        <w:ind w:left="-141" w:leftChars="-67"/>
        <w:jc w:val="center"/>
        <w:rPr>
          <w:rFonts w:hint="default" w:ascii="Times New Roman" w:hAnsi="Times New Roman" w:eastAsia="宋体" w:cs="Times New Roman"/>
          <w:b/>
          <w:color w:val="000000" w:themeColor="text1"/>
          <w:kern w:val="0"/>
          <w:sz w:val="24"/>
          <w:szCs w:val="24"/>
          <w:lang w:val="en-US" w:eastAsia="zh-CN"/>
          <w14:textFill>
            <w14:solidFill>
              <w14:schemeClr w14:val="tx1"/>
            </w14:solidFill>
          </w14:textFill>
        </w:rPr>
      </w:pPr>
      <w:r>
        <w:rPr>
          <w:rFonts w:hint="eastAsia" w:ascii="Times New Roman" w:hAnsi="Times New Roman" w:eastAsia="宋体" w:cs="Times New Roman"/>
          <w:b/>
          <w:color w:val="000000" w:themeColor="text1"/>
          <w:kern w:val="0"/>
          <w:sz w:val="24"/>
          <w:szCs w:val="24"/>
          <w:lang w:val="en-US" w:eastAsia="zh-CN"/>
          <w14:textFill>
            <w14:solidFill>
              <w14:schemeClr w14:val="tx1"/>
            </w14:solidFill>
          </w14:textFill>
        </w:rPr>
        <w:t>包组3 面部皮肤注射泵</w:t>
      </w:r>
      <w:r>
        <w:rPr>
          <w:rFonts w:ascii="Times New Roman" w:hAnsi="Times New Roman" w:eastAsia="宋体" w:cs="Times New Roman"/>
          <w:b/>
          <w:color w:val="000000" w:themeColor="text1"/>
          <w:kern w:val="0"/>
          <w:sz w:val="24"/>
          <w:szCs w:val="24"/>
          <w14:textFill>
            <w14:solidFill>
              <w14:schemeClr w14:val="tx1"/>
            </w14:solidFill>
          </w14:textFill>
        </w:rPr>
        <w:t xml:space="preserve"> </w:t>
      </w:r>
      <w:r>
        <w:rPr>
          <w:rFonts w:hint="eastAsia" w:ascii="Times New Roman" w:hAnsi="Times New Roman" w:eastAsia="宋体" w:cs="Times New Roman"/>
          <w:b/>
          <w:color w:val="000000" w:themeColor="text1"/>
          <w:kern w:val="0"/>
          <w:sz w:val="24"/>
          <w:szCs w:val="24"/>
          <w:lang w:val="en-US" w:eastAsia="zh-CN"/>
          <w14:textFill>
            <w14:solidFill>
              <w14:schemeClr w14:val="tx1"/>
            </w14:solidFill>
          </w14:textFill>
        </w:rPr>
        <w:t>2台 限价9.6万元</w:t>
      </w:r>
    </w:p>
    <w:p w14:paraId="448CE8F9">
      <w:pPr>
        <w:numPr>
          <w:ilvl w:val="0"/>
          <w:numId w:val="0"/>
        </w:numPr>
        <w:spacing w:line="276" w:lineRule="auto"/>
        <w:ind w:left="-141" w:leftChars="-67"/>
        <w:jc w:val="left"/>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一、</w:t>
      </w:r>
      <w:r>
        <w:rPr>
          <w:rFonts w:hint="eastAsia" w:ascii="Times New Roman" w:hAnsi="Times New Roman" w:eastAsia="宋体" w:cs="Times New Roman"/>
          <w:b/>
          <w:color w:val="000000" w:themeColor="text1"/>
          <w:kern w:val="0"/>
          <w:sz w:val="24"/>
          <w:szCs w:val="24"/>
          <w:lang w:val="en-US" w:eastAsia="zh-CN"/>
          <w14:textFill>
            <w14:solidFill>
              <w14:schemeClr w14:val="tx1"/>
            </w14:solidFill>
          </w14:textFill>
        </w:rPr>
        <w:t xml:space="preserve">基本要求  </w:t>
      </w:r>
    </w:p>
    <w:p w14:paraId="3EE1CCFF">
      <w:pPr>
        <w:numPr>
          <w:ilvl w:val="0"/>
          <w:numId w:val="0"/>
        </w:numPr>
        <w:spacing w:line="276" w:lineRule="auto"/>
        <w:jc w:val="left"/>
        <w:rPr>
          <w:rFonts w:hint="eastAsia"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1、</w:t>
      </w:r>
      <w:r>
        <w:rPr>
          <w:rFonts w:hint="eastAsia" w:ascii="Times New Roman" w:hAnsi="Times New Roman" w:eastAsia="宋体" w:cs="Times New Roman"/>
          <w:color w:val="000000" w:themeColor="text1"/>
          <w:szCs w:val="21"/>
          <w:lang w:val="en-US" w:eastAsia="zh-CN"/>
          <w14:textFill>
            <w14:solidFill>
              <w14:schemeClr w14:val="tx1"/>
            </w14:solidFill>
          </w14:textFill>
        </w:rPr>
        <w:t xml:space="preserve">名称：面部皮肤注射泵 </w:t>
      </w:r>
    </w:p>
    <w:p w14:paraId="2311DC6E">
      <w:pPr>
        <w:numPr>
          <w:ilvl w:val="0"/>
          <w:numId w:val="0"/>
        </w:numPr>
        <w:spacing w:line="276" w:lineRule="auto"/>
        <w:jc w:val="left"/>
        <w:rPr>
          <w:rFonts w:hint="eastAsia"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2、</w:t>
      </w:r>
      <w:r>
        <w:rPr>
          <w:rFonts w:hint="eastAsia" w:ascii="Times New Roman" w:hAnsi="Times New Roman" w:eastAsia="宋体" w:cs="Times New Roman"/>
          <w:color w:val="000000" w:themeColor="text1"/>
          <w:szCs w:val="21"/>
          <w:lang w:val="en-US" w:eastAsia="zh-CN"/>
          <w14:textFill>
            <w14:solidFill>
              <w14:schemeClr w14:val="tx1"/>
            </w14:solidFill>
          </w14:textFill>
        </w:rPr>
        <w:t>数量：2台</w:t>
      </w:r>
    </w:p>
    <w:p w14:paraId="32D4A640">
      <w:pPr>
        <w:numPr>
          <w:ilvl w:val="0"/>
          <w:numId w:val="0"/>
        </w:numPr>
        <w:spacing w:line="276" w:lineRule="auto"/>
        <w:jc w:val="left"/>
        <w:rPr>
          <w:rFonts w:hint="eastAsia"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3、用途：与注射器配合使用，用于对患者面部真皮层进行定量注射透明质酸钠。</w:t>
      </w:r>
    </w:p>
    <w:p w14:paraId="5D246ADD">
      <w:pPr>
        <w:numPr>
          <w:ilvl w:val="0"/>
          <w:numId w:val="0"/>
        </w:numPr>
        <w:spacing w:line="276" w:lineRule="auto"/>
        <w:jc w:val="left"/>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4</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w:t>
      </w: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货期：签订合同一个月内</w:t>
      </w:r>
    </w:p>
    <w:p w14:paraId="59B50C92">
      <w:pPr>
        <w:spacing w:line="276" w:lineRule="auto"/>
        <w:ind w:left="-141" w:leftChars="-67"/>
        <w:jc w:val="left"/>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二、主要技术要求（达到或优于）</w:t>
      </w:r>
    </w:p>
    <w:p w14:paraId="2B811B61">
      <w:pPr>
        <w:pStyle w:val="13"/>
        <w:tabs>
          <w:tab w:val="left" w:pos="475"/>
        </w:tabs>
        <w:spacing w:after="0" w:line="360" w:lineRule="auto"/>
        <w:ind w:left="0" w:leftChars="0" w:firstLine="0" w:firstLineChars="0"/>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1、显示器：不小于15.6寸 2k高清IPS液晶宽视角显示屏</w:t>
      </w:r>
    </w:p>
    <w:p w14:paraId="0BDAA295">
      <w:pPr>
        <w:pStyle w:val="13"/>
        <w:tabs>
          <w:tab w:val="left" w:pos="475"/>
        </w:tabs>
        <w:spacing w:after="0" w:line="360" w:lineRule="auto"/>
        <w:ind w:left="0" w:leftChars="0" w:firstLine="0" w:firstLineChars="0"/>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2、注射准确性：注射泵实际注射剂量与设定剂量之间偏差应在±5%范围内</w:t>
      </w:r>
    </w:p>
    <w:p w14:paraId="1FD8A991">
      <w:pPr>
        <w:pStyle w:val="13"/>
        <w:spacing w:after="0" w:line="360" w:lineRule="auto"/>
        <w:ind w:left="0" w:leftChars="0" w:firstLine="0" w:firstLineChars="0"/>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3、负压值：误差应在±20%范围内</w:t>
      </w:r>
    </w:p>
    <w:tbl>
      <w:tblPr>
        <w:tblStyle w:val="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155"/>
        <w:gridCol w:w="3217"/>
      </w:tblGrid>
      <w:tr w14:paraId="151043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jc w:val="center"/>
        </w:trPr>
        <w:tc>
          <w:tcPr>
            <w:tcW w:w="3155" w:type="dxa"/>
          </w:tcPr>
          <w:p w14:paraId="1CCFFB23">
            <w:pPr>
              <w:pStyle w:val="14"/>
              <w:spacing w:before="0" w:line="292" w:lineRule="exact"/>
              <w:ind w:left="313" w:right="304"/>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负压档位</w:t>
            </w:r>
          </w:p>
        </w:tc>
        <w:tc>
          <w:tcPr>
            <w:tcW w:w="3217" w:type="dxa"/>
          </w:tcPr>
          <w:p w14:paraId="18A91D93">
            <w:pPr>
              <w:pStyle w:val="14"/>
              <w:spacing w:before="0" w:line="292" w:lineRule="exact"/>
              <w:ind w:left="531" w:right="487"/>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负压值 kPa</w:t>
            </w:r>
          </w:p>
        </w:tc>
      </w:tr>
      <w:tr w14:paraId="0B6B57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jc w:val="center"/>
        </w:trPr>
        <w:tc>
          <w:tcPr>
            <w:tcW w:w="3155" w:type="dxa"/>
          </w:tcPr>
          <w:p w14:paraId="2D40622B">
            <w:pPr>
              <w:pStyle w:val="14"/>
              <w:spacing w:before="0" w:line="292" w:lineRule="exact"/>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0</w:t>
            </w:r>
          </w:p>
        </w:tc>
        <w:tc>
          <w:tcPr>
            <w:tcW w:w="3217" w:type="dxa"/>
          </w:tcPr>
          <w:p w14:paraId="5917FCD7">
            <w:pPr>
              <w:pStyle w:val="14"/>
              <w:spacing w:before="0" w:line="292" w:lineRule="exact"/>
              <w:ind w:left="42"/>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0</w:t>
            </w:r>
          </w:p>
        </w:tc>
      </w:tr>
      <w:tr w14:paraId="0B2F35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jc w:val="center"/>
        </w:trPr>
        <w:tc>
          <w:tcPr>
            <w:tcW w:w="3155" w:type="dxa"/>
          </w:tcPr>
          <w:p w14:paraId="0437E225">
            <w:pPr>
              <w:pStyle w:val="14"/>
              <w:spacing w:before="0" w:line="292" w:lineRule="exact"/>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1</w:t>
            </w:r>
          </w:p>
        </w:tc>
        <w:tc>
          <w:tcPr>
            <w:tcW w:w="3217" w:type="dxa"/>
          </w:tcPr>
          <w:p w14:paraId="23F5C9DE">
            <w:pPr>
              <w:pStyle w:val="14"/>
              <w:spacing w:before="0" w:line="292" w:lineRule="exact"/>
              <w:ind w:left="529" w:right="487"/>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-25</w:t>
            </w:r>
          </w:p>
        </w:tc>
      </w:tr>
      <w:tr w14:paraId="501FE9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jc w:val="center"/>
        </w:trPr>
        <w:tc>
          <w:tcPr>
            <w:tcW w:w="3155" w:type="dxa"/>
          </w:tcPr>
          <w:p w14:paraId="675888D3">
            <w:pPr>
              <w:pStyle w:val="14"/>
              <w:spacing w:before="2" w:line="292" w:lineRule="exact"/>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2</w:t>
            </w:r>
          </w:p>
        </w:tc>
        <w:tc>
          <w:tcPr>
            <w:tcW w:w="3217" w:type="dxa"/>
          </w:tcPr>
          <w:p w14:paraId="680A24F0">
            <w:pPr>
              <w:pStyle w:val="14"/>
              <w:spacing w:before="2" w:line="292" w:lineRule="exact"/>
              <w:ind w:left="529" w:right="487"/>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-30</w:t>
            </w:r>
          </w:p>
        </w:tc>
      </w:tr>
      <w:tr w14:paraId="179C34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jc w:val="center"/>
        </w:trPr>
        <w:tc>
          <w:tcPr>
            <w:tcW w:w="3155" w:type="dxa"/>
          </w:tcPr>
          <w:p w14:paraId="3E17C489">
            <w:pPr>
              <w:pStyle w:val="14"/>
              <w:spacing w:before="0" w:line="292" w:lineRule="exact"/>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3</w:t>
            </w:r>
          </w:p>
        </w:tc>
        <w:tc>
          <w:tcPr>
            <w:tcW w:w="3217" w:type="dxa"/>
          </w:tcPr>
          <w:p w14:paraId="2F26D6EA">
            <w:pPr>
              <w:pStyle w:val="14"/>
              <w:spacing w:before="0" w:line="292" w:lineRule="exact"/>
              <w:ind w:left="529" w:right="487"/>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-35</w:t>
            </w:r>
          </w:p>
        </w:tc>
      </w:tr>
      <w:tr w14:paraId="0E43AF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jc w:val="center"/>
        </w:trPr>
        <w:tc>
          <w:tcPr>
            <w:tcW w:w="3155" w:type="dxa"/>
          </w:tcPr>
          <w:p w14:paraId="59147491">
            <w:pPr>
              <w:pStyle w:val="14"/>
              <w:spacing w:before="0" w:line="292" w:lineRule="exact"/>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4</w:t>
            </w:r>
          </w:p>
        </w:tc>
        <w:tc>
          <w:tcPr>
            <w:tcW w:w="3217" w:type="dxa"/>
          </w:tcPr>
          <w:p w14:paraId="003B0735">
            <w:pPr>
              <w:pStyle w:val="14"/>
              <w:spacing w:before="0" w:line="292" w:lineRule="exact"/>
              <w:ind w:left="529" w:right="487"/>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-40</w:t>
            </w:r>
          </w:p>
        </w:tc>
      </w:tr>
      <w:tr w14:paraId="3638DC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jc w:val="center"/>
        </w:trPr>
        <w:tc>
          <w:tcPr>
            <w:tcW w:w="3155" w:type="dxa"/>
          </w:tcPr>
          <w:p w14:paraId="52D88638">
            <w:pPr>
              <w:pStyle w:val="14"/>
              <w:spacing w:before="0" w:line="292" w:lineRule="exact"/>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5</w:t>
            </w:r>
          </w:p>
        </w:tc>
        <w:tc>
          <w:tcPr>
            <w:tcW w:w="3217" w:type="dxa"/>
          </w:tcPr>
          <w:p w14:paraId="359DFA3A">
            <w:pPr>
              <w:pStyle w:val="14"/>
              <w:spacing w:before="0" w:line="292" w:lineRule="exact"/>
              <w:ind w:left="529" w:right="487"/>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-45</w:t>
            </w:r>
          </w:p>
        </w:tc>
      </w:tr>
      <w:tr w14:paraId="7CC025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jc w:val="center"/>
        </w:trPr>
        <w:tc>
          <w:tcPr>
            <w:tcW w:w="3155" w:type="dxa"/>
          </w:tcPr>
          <w:p w14:paraId="66EF7C3E">
            <w:pPr>
              <w:pStyle w:val="14"/>
              <w:spacing w:before="0" w:line="292" w:lineRule="exact"/>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6</w:t>
            </w:r>
          </w:p>
        </w:tc>
        <w:tc>
          <w:tcPr>
            <w:tcW w:w="3217" w:type="dxa"/>
          </w:tcPr>
          <w:p w14:paraId="2BFD755D">
            <w:pPr>
              <w:pStyle w:val="14"/>
              <w:spacing w:before="0" w:line="292" w:lineRule="exact"/>
              <w:ind w:left="529" w:right="487"/>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-50</w:t>
            </w:r>
          </w:p>
        </w:tc>
      </w:tr>
      <w:tr w14:paraId="335123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jc w:val="center"/>
        </w:trPr>
        <w:tc>
          <w:tcPr>
            <w:tcW w:w="3155" w:type="dxa"/>
          </w:tcPr>
          <w:p w14:paraId="46810215">
            <w:pPr>
              <w:pStyle w:val="14"/>
              <w:spacing w:before="0" w:line="292" w:lineRule="exact"/>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7</w:t>
            </w:r>
          </w:p>
        </w:tc>
        <w:tc>
          <w:tcPr>
            <w:tcW w:w="3217" w:type="dxa"/>
          </w:tcPr>
          <w:p w14:paraId="1AFC3280">
            <w:pPr>
              <w:pStyle w:val="14"/>
              <w:spacing w:before="0" w:line="292" w:lineRule="exact"/>
              <w:ind w:left="529" w:right="487"/>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-55</w:t>
            </w:r>
          </w:p>
        </w:tc>
      </w:tr>
      <w:tr w14:paraId="4CAEF2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jc w:val="center"/>
        </w:trPr>
        <w:tc>
          <w:tcPr>
            <w:tcW w:w="3155" w:type="dxa"/>
          </w:tcPr>
          <w:p w14:paraId="1A96F81D">
            <w:pPr>
              <w:pStyle w:val="14"/>
              <w:spacing w:before="2" w:line="292" w:lineRule="exact"/>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8</w:t>
            </w:r>
          </w:p>
        </w:tc>
        <w:tc>
          <w:tcPr>
            <w:tcW w:w="3217" w:type="dxa"/>
          </w:tcPr>
          <w:p w14:paraId="0EF9AD2D">
            <w:pPr>
              <w:pStyle w:val="14"/>
              <w:spacing w:before="2" w:line="292" w:lineRule="exact"/>
              <w:ind w:left="529" w:right="487"/>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-60</w:t>
            </w:r>
          </w:p>
        </w:tc>
      </w:tr>
      <w:tr w14:paraId="18A4FB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jc w:val="center"/>
        </w:trPr>
        <w:tc>
          <w:tcPr>
            <w:tcW w:w="3155" w:type="dxa"/>
          </w:tcPr>
          <w:p w14:paraId="2442EE30">
            <w:pPr>
              <w:pStyle w:val="14"/>
              <w:spacing w:before="0" w:line="292" w:lineRule="exact"/>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9</w:t>
            </w:r>
          </w:p>
        </w:tc>
        <w:tc>
          <w:tcPr>
            <w:tcW w:w="3217" w:type="dxa"/>
          </w:tcPr>
          <w:p w14:paraId="40E9A110">
            <w:pPr>
              <w:pStyle w:val="14"/>
              <w:spacing w:before="0" w:line="292" w:lineRule="exact"/>
              <w:ind w:left="529" w:right="487"/>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-65</w:t>
            </w:r>
          </w:p>
        </w:tc>
      </w:tr>
      <w:tr w14:paraId="4436B5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jc w:val="center"/>
        </w:trPr>
        <w:tc>
          <w:tcPr>
            <w:tcW w:w="3155" w:type="dxa"/>
          </w:tcPr>
          <w:p w14:paraId="667D303D">
            <w:pPr>
              <w:pStyle w:val="14"/>
              <w:spacing w:before="0" w:line="292" w:lineRule="exact"/>
              <w:ind w:left="313" w:right="304"/>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10</w:t>
            </w:r>
          </w:p>
        </w:tc>
        <w:tc>
          <w:tcPr>
            <w:tcW w:w="3217" w:type="dxa"/>
          </w:tcPr>
          <w:p w14:paraId="0952025E">
            <w:pPr>
              <w:pStyle w:val="14"/>
              <w:spacing w:before="0" w:line="292" w:lineRule="exact"/>
              <w:ind w:left="529" w:right="487"/>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-75</w:t>
            </w:r>
          </w:p>
        </w:tc>
      </w:tr>
    </w:tbl>
    <w:p w14:paraId="71FD6D50">
      <w:pPr>
        <w:pStyle w:val="13"/>
        <w:spacing w:after="0" w:line="360" w:lineRule="auto"/>
        <w:ind w:left="630" w:hanging="630" w:hangingChars="300"/>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 xml:space="preserve"> 4、推进速度：有慢速、中速、快速可选，快速：5.8mm/s；中速：4.1mm/s；慢速：3.3mm/s；误差应在±15%范围内</w:t>
      </w:r>
    </w:p>
    <w:p w14:paraId="7DFD10D6">
      <w:pPr>
        <w:pStyle w:val="13"/>
        <w:spacing w:after="0" w:line="360" w:lineRule="auto"/>
        <w:ind w:left="0" w:leftChars="0" w:firstLine="210" w:firstLineChars="100"/>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5、间隔时间：每一次注射间隔时间应与设定的间隔时间一致，偏差应小于±0.3s；有0.5s、1s、1.5s、2s、2.5s、3s 选项</w:t>
      </w:r>
    </w:p>
    <w:p w14:paraId="67730B4D">
      <w:pPr>
        <w:pStyle w:val="13"/>
        <w:spacing w:after="0" w:line="360" w:lineRule="auto"/>
        <w:ind w:left="0" w:leftChars="0" w:firstLine="210" w:firstLineChars="100"/>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6、注射后退值：在注射中完成一次注射后，注射器推座将往反方向移动3.0mm，误差应在±20%</w:t>
      </w:r>
    </w:p>
    <w:p w14:paraId="0D1F942E">
      <w:pPr>
        <w:pStyle w:val="13"/>
        <w:spacing w:after="0" w:line="360" w:lineRule="auto"/>
        <w:ind w:left="0" w:leftChars="0" w:firstLine="210" w:firstLineChars="100"/>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7、注射模式：自动感应、自动脚踏、连续脚踏功能</w:t>
      </w:r>
    </w:p>
    <w:p w14:paraId="05473765">
      <w:pPr>
        <w:pStyle w:val="13"/>
        <w:spacing w:after="0" w:line="360" w:lineRule="auto"/>
        <w:ind w:left="0" w:leftChars="0" w:firstLine="210" w:firstLineChars="100"/>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8、注射规格:针剂剂量界面包括但不限于0.5ml/1 ml、1ml/1ml、1.5ml/3ml、2ml/3ml、2.5ml/3ml、3ml/3ml、1.0ml/5ml、2.0ml/5ml、2.5ml/5ml、3.0ml/5ml、3.5ml/5ml、4ml/5ml、4.5ml/5ml、5ml/5ml</w:t>
      </w:r>
    </w:p>
    <w:p w14:paraId="15817254">
      <w:pPr>
        <w:pStyle w:val="13"/>
        <w:spacing w:after="0" w:line="360" w:lineRule="auto"/>
        <w:ind w:left="0" w:leftChars="0" w:firstLine="210" w:firstLineChars="100"/>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9、注射次数：10～150 次可选，步进为10</w:t>
      </w:r>
    </w:p>
    <w:p w14:paraId="33E0C59E">
      <w:pPr>
        <w:pStyle w:val="13"/>
        <w:spacing w:after="0" w:line="360" w:lineRule="auto"/>
        <w:ind w:left="0" w:leftChars="0" w:firstLine="210" w:firstLineChars="100"/>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10、储存功能：有5个存储卡位，可对5种配置进行存储</w:t>
      </w:r>
    </w:p>
    <w:p w14:paraId="35605C9D">
      <w:pPr>
        <w:pStyle w:val="13"/>
        <w:spacing w:after="0" w:line="360" w:lineRule="auto"/>
        <w:ind w:left="0" w:leftChars="0" w:firstLine="210" w:firstLineChars="100"/>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11、断电提示：设备正在注射中（处于工作状态）时，如发生断电则应触发断电提示，提示音≥3min</w:t>
      </w:r>
    </w:p>
    <w:p w14:paraId="216CFA12">
      <w:pPr>
        <w:pStyle w:val="13"/>
        <w:spacing w:after="0" w:line="360" w:lineRule="auto"/>
        <w:ind w:left="0" w:leftChars="0" w:firstLine="210" w:firstLineChars="100"/>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12、故障报警：阻塞报警、负压不足报警、手柄未连接报警、注射结束报警</w:t>
      </w:r>
    </w:p>
    <w:p w14:paraId="4667A847">
      <w:pPr>
        <w:pStyle w:val="13"/>
        <w:spacing w:after="0" w:line="360" w:lineRule="auto"/>
        <w:ind w:left="0" w:leftChars="0" w:firstLine="210" w:firstLineChars="100"/>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13、电源：100V～240VAC，50/60Hz</w:t>
      </w:r>
    </w:p>
    <w:p w14:paraId="0E6BFC0C">
      <w:pPr>
        <w:pStyle w:val="13"/>
        <w:spacing w:after="0" w:line="360" w:lineRule="auto"/>
        <w:ind w:left="0" w:leftChars="0" w:firstLine="210" w:firstLineChars="100"/>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14、手柄电机参数如下：</w:t>
      </w:r>
    </w:p>
    <w:p w14:paraId="14B1006B">
      <w:pPr>
        <w:pStyle w:val="13"/>
        <w:spacing w:after="0" w:line="360" w:lineRule="auto"/>
        <w:ind w:left="0" w:leftChars="0" w:firstLine="210" w:firstLineChars="100"/>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15.1、额定电压：直流 12.0V16、推荐辐照距离:10cm～25cm之间</w:t>
      </w:r>
    </w:p>
    <w:p w14:paraId="02FE509C">
      <w:pPr>
        <w:pStyle w:val="13"/>
        <w:spacing w:after="0" w:line="360" w:lineRule="auto"/>
        <w:ind w:left="0" w:leftChars="0" w:firstLine="210" w:firstLineChars="100"/>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15.2、空载转速：13000±10% 转 / 分钟</w:t>
      </w:r>
    </w:p>
    <w:p w14:paraId="452B7B92">
      <w:pPr>
        <w:pStyle w:val="13"/>
        <w:spacing w:after="0" w:line="360" w:lineRule="auto"/>
        <w:ind w:left="0" w:leftChars="0" w:firstLine="210" w:firstLineChars="100"/>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15.3、空载电流：≤100mA</w:t>
      </w:r>
    </w:p>
    <w:p w14:paraId="79F85924">
      <w:pPr>
        <w:pStyle w:val="13"/>
        <w:spacing w:after="0" w:line="360" w:lineRule="auto"/>
        <w:ind w:left="0" w:leftChars="0" w:firstLine="210" w:firstLineChars="100"/>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15.4、堵转电流：≤2.0A</w:t>
      </w:r>
    </w:p>
    <w:p w14:paraId="051AC80D">
      <w:pPr>
        <w:pStyle w:val="13"/>
        <w:spacing w:after="0" w:line="360" w:lineRule="auto"/>
        <w:ind w:left="0" w:leftChars="0" w:firstLine="210" w:firstLineChars="100"/>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15.5、启动电压：≤2.0V</w:t>
      </w:r>
    </w:p>
    <w:p w14:paraId="798A24E6">
      <w:pPr>
        <w:pStyle w:val="13"/>
        <w:spacing w:after="0" w:line="360" w:lineRule="auto"/>
        <w:ind w:left="0" w:leftChars="0" w:firstLine="210" w:firstLineChars="100"/>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15.6、绝缘强度：交流 100V，持续 1 秒</w:t>
      </w:r>
    </w:p>
    <w:p w14:paraId="580E08D8">
      <w:pPr>
        <w:pStyle w:val="13"/>
        <w:spacing w:after="0" w:line="360" w:lineRule="auto"/>
        <w:ind w:left="0" w:leftChars="0" w:firstLine="210" w:firstLineChars="100"/>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15.7、绝缘电阻：直流 500V 下≥50MΩ</w:t>
      </w:r>
    </w:p>
    <w:p w14:paraId="5A010C3A">
      <w:pPr>
        <w:numPr>
          <w:ilvl w:val="0"/>
          <w:numId w:val="0"/>
        </w:numPr>
        <w:spacing w:line="360" w:lineRule="auto"/>
        <w:ind w:firstLine="210" w:firstLineChars="100"/>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16、配置清单包括但不限于</w:t>
      </w:r>
    </w:p>
    <w:tbl>
      <w:tblPr>
        <w:tblStyle w:val="7"/>
        <w:tblW w:w="7962" w:type="dxa"/>
        <w:tblInd w:w="113" w:type="dxa"/>
        <w:tblLayout w:type="fixed"/>
        <w:tblCellMar>
          <w:top w:w="0" w:type="dxa"/>
          <w:left w:w="108" w:type="dxa"/>
          <w:bottom w:w="0" w:type="dxa"/>
          <w:right w:w="108" w:type="dxa"/>
        </w:tblCellMar>
      </w:tblPr>
      <w:tblGrid>
        <w:gridCol w:w="860"/>
        <w:gridCol w:w="3983"/>
        <w:gridCol w:w="1313"/>
        <w:gridCol w:w="1806"/>
      </w:tblGrid>
      <w:tr w14:paraId="12697A70">
        <w:tblPrEx>
          <w:tblCellMar>
            <w:top w:w="0" w:type="dxa"/>
            <w:left w:w="108" w:type="dxa"/>
            <w:bottom w:w="0" w:type="dxa"/>
            <w:right w:w="108" w:type="dxa"/>
          </w:tblCellMar>
        </w:tblPrEx>
        <w:trPr>
          <w:trHeight w:val="669" w:hRule="atLeast"/>
        </w:trPr>
        <w:tc>
          <w:tcPr>
            <w:tcW w:w="860" w:type="dxa"/>
            <w:tcBorders>
              <w:top w:val="single" w:color="auto" w:sz="4" w:space="0"/>
              <w:left w:val="single" w:color="auto" w:sz="4" w:space="0"/>
              <w:bottom w:val="single" w:color="auto" w:sz="4" w:space="0"/>
              <w:right w:val="single" w:color="auto" w:sz="4" w:space="0"/>
            </w:tcBorders>
            <w:vAlign w:val="center"/>
          </w:tcPr>
          <w:p w14:paraId="753EF36B">
            <w:pPr>
              <w:widowControl/>
              <w:spacing w:line="360" w:lineRule="auto"/>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序号</w:t>
            </w:r>
          </w:p>
        </w:tc>
        <w:tc>
          <w:tcPr>
            <w:tcW w:w="3983" w:type="dxa"/>
            <w:tcBorders>
              <w:top w:val="single" w:color="auto" w:sz="4" w:space="0"/>
              <w:left w:val="nil"/>
              <w:bottom w:val="single" w:color="auto" w:sz="4" w:space="0"/>
              <w:right w:val="single" w:color="auto" w:sz="4" w:space="0"/>
            </w:tcBorders>
            <w:vAlign w:val="center"/>
          </w:tcPr>
          <w:p w14:paraId="0B0D54B9">
            <w:pPr>
              <w:widowControl/>
              <w:spacing w:line="360" w:lineRule="auto"/>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配置名称</w:t>
            </w:r>
          </w:p>
        </w:tc>
        <w:tc>
          <w:tcPr>
            <w:tcW w:w="1313" w:type="dxa"/>
            <w:tcBorders>
              <w:top w:val="single" w:color="auto" w:sz="4" w:space="0"/>
              <w:left w:val="nil"/>
              <w:bottom w:val="single" w:color="auto" w:sz="4" w:space="0"/>
              <w:right w:val="single" w:color="auto" w:sz="4" w:space="0"/>
            </w:tcBorders>
            <w:vAlign w:val="center"/>
          </w:tcPr>
          <w:p w14:paraId="1977F2A2">
            <w:pPr>
              <w:widowControl/>
              <w:spacing w:line="360" w:lineRule="auto"/>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数量</w:t>
            </w:r>
          </w:p>
        </w:tc>
        <w:tc>
          <w:tcPr>
            <w:tcW w:w="1806" w:type="dxa"/>
            <w:tcBorders>
              <w:top w:val="single" w:color="auto" w:sz="4" w:space="0"/>
              <w:left w:val="nil"/>
              <w:bottom w:val="single" w:color="auto" w:sz="4" w:space="0"/>
              <w:right w:val="single" w:color="auto" w:sz="4" w:space="0"/>
            </w:tcBorders>
            <w:vAlign w:val="center"/>
          </w:tcPr>
          <w:p w14:paraId="29A3F7E3">
            <w:pPr>
              <w:widowControl/>
              <w:spacing w:line="360" w:lineRule="auto"/>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单位</w:t>
            </w:r>
          </w:p>
        </w:tc>
      </w:tr>
      <w:tr w14:paraId="606AE6A7">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vAlign w:val="center"/>
          </w:tcPr>
          <w:p w14:paraId="738ACC4A">
            <w:pPr>
              <w:spacing w:line="360" w:lineRule="auto"/>
              <w:jc w:val="left"/>
              <w:outlineLvl w:val="2"/>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　1</w:t>
            </w:r>
          </w:p>
        </w:tc>
        <w:tc>
          <w:tcPr>
            <w:tcW w:w="3983" w:type="dxa"/>
            <w:tcBorders>
              <w:top w:val="nil"/>
              <w:left w:val="nil"/>
              <w:bottom w:val="single" w:color="auto" w:sz="4" w:space="0"/>
              <w:right w:val="single" w:color="auto" w:sz="4" w:space="0"/>
            </w:tcBorders>
            <w:vAlign w:val="center"/>
          </w:tcPr>
          <w:p w14:paraId="2ECC162A">
            <w:pPr>
              <w:widowControl/>
              <w:spacing w:line="360" w:lineRule="auto"/>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主机</w:t>
            </w:r>
          </w:p>
        </w:tc>
        <w:tc>
          <w:tcPr>
            <w:tcW w:w="1313" w:type="dxa"/>
            <w:tcBorders>
              <w:top w:val="nil"/>
              <w:left w:val="nil"/>
              <w:bottom w:val="single" w:color="auto" w:sz="4" w:space="0"/>
              <w:right w:val="single" w:color="auto" w:sz="4" w:space="0"/>
            </w:tcBorders>
            <w:noWrap/>
            <w:vAlign w:val="center"/>
          </w:tcPr>
          <w:p w14:paraId="667B16A8">
            <w:pPr>
              <w:widowControl/>
              <w:spacing w:line="360" w:lineRule="auto"/>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1</w:t>
            </w:r>
          </w:p>
        </w:tc>
        <w:tc>
          <w:tcPr>
            <w:tcW w:w="1806" w:type="dxa"/>
            <w:tcBorders>
              <w:top w:val="nil"/>
              <w:left w:val="nil"/>
              <w:bottom w:val="single" w:color="auto" w:sz="4" w:space="0"/>
              <w:right w:val="single" w:color="auto" w:sz="4" w:space="0"/>
            </w:tcBorders>
            <w:noWrap/>
            <w:vAlign w:val="center"/>
          </w:tcPr>
          <w:p w14:paraId="1B211D39">
            <w:pPr>
              <w:widowControl/>
              <w:spacing w:line="360" w:lineRule="auto"/>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台</w:t>
            </w:r>
          </w:p>
        </w:tc>
      </w:tr>
      <w:tr w14:paraId="255C8B78">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vAlign w:val="center"/>
          </w:tcPr>
          <w:p w14:paraId="001F716F">
            <w:pPr>
              <w:spacing w:line="360" w:lineRule="auto"/>
              <w:jc w:val="left"/>
              <w:outlineLvl w:val="2"/>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　2</w:t>
            </w:r>
          </w:p>
        </w:tc>
        <w:tc>
          <w:tcPr>
            <w:tcW w:w="3983" w:type="dxa"/>
            <w:tcBorders>
              <w:top w:val="nil"/>
              <w:left w:val="nil"/>
              <w:bottom w:val="single" w:color="auto" w:sz="4" w:space="0"/>
              <w:right w:val="single" w:color="auto" w:sz="4" w:space="0"/>
            </w:tcBorders>
            <w:vAlign w:val="center"/>
          </w:tcPr>
          <w:p w14:paraId="514F5DDB">
            <w:pPr>
              <w:widowControl/>
              <w:spacing w:line="360" w:lineRule="auto"/>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推车</w:t>
            </w:r>
          </w:p>
        </w:tc>
        <w:tc>
          <w:tcPr>
            <w:tcW w:w="1313" w:type="dxa"/>
            <w:tcBorders>
              <w:top w:val="nil"/>
              <w:left w:val="nil"/>
              <w:bottom w:val="single" w:color="auto" w:sz="4" w:space="0"/>
              <w:right w:val="single" w:color="auto" w:sz="4" w:space="0"/>
            </w:tcBorders>
            <w:noWrap/>
            <w:vAlign w:val="center"/>
          </w:tcPr>
          <w:p w14:paraId="6CD06CAE">
            <w:pPr>
              <w:widowControl/>
              <w:spacing w:line="360" w:lineRule="auto"/>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1</w:t>
            </w:r>
          </w:p>
        </w:tc>
        <w:tc>
          <w:tcPr>
            <w:tcW w:w="1806" w:type="dxa"/>
            <w:tcBorders>
              <w:top w:val="nil"/>
              <w:left w:val="nil"/>
              <w:bottom w:val="single" w:color="auto" w:sz="4" w:space="0"/>
              <w:right w:val="single" w:color="auto" w:sz="4" w:space="0"/>
            </w:tcBorders>
            <w:noWrap/>
            <w:vAlign w:val="center"/>
          </w:tcPr>
          <w:p w14:paraId="12E63A70">
            <w:pPr>
              <w:widowControl/>
              <w:spacing w:line="360" w:lineRule="auto"/>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台</w:t>
            </w:r>
          </w:p>
        </w:tc>
      </w:tr>
      <w:tr w14:paraId="089D0142">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vAlign w:val="center"/>
          </w:tcPr>
          <w:p w14:paraId="6A5F3795">
            <w:pPr>
              <w:spacing w:line="360" w:lineRule="auto"/>
              <w:ind w:firstLine="210" w:firstLineChars="100"/>
              <w:jc w:val="left"/>
              <w:outlineLvl w:val="2"/>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3</w:t>
            </w:r>
          </w:p>
        </w:tc>
        <w:tc>
          <w:tcPr>
            <w:tcW w:w="3983" w:type="dxa"/>
            <w:tcBorders>
              <w:top w:val="nil"/>
              <w:left w:val="nil"/>
              <w:bottom w:val="single" w:color="auto" w:sz="4" w:space="0"/>
              <w:right w:val="single" w:color="auto" w:sz="4" w:space="0"/>
            </w:tcBorders>
            <w:vAlign w:val="center"/>
          </w:tcPr>
          <w:p w14:paraId="61E449C9">
            <w:pPr>
              <w:widowControl/>
              <w:spacing w:line="360" w:lineRule="auto"/>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手柄</w:t>
            </w:r>
          </w:p>
        </w:tc>
        <w:tc>
          <w:tcPr>
            <w:tcW w:w="1313" w:type="dxa"/>
            <w:tcBorders>
              <w:top w:val="nil"/>
              <w:left w:val="nil"/>
              <w:bottom w:val="single" w:color="auto" w:sz="4" w:space="0"/>
              <w:right w:val="single" w:color="auto" w:sz="4" w:space="0"/>
            </w:tcBorders>
            <w:noWrap/>
            <w:vAlign w:val="center"/>
          </w:tcPr>
          <w:p w14:paraId="0DEF8B20">
            <w:pPr>
              <w:widowControl/>
              <w:spacing w:line="360" w:lineRule="auto"/>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1</w:t>
            </w:r>
          </w:p>
        </w:tc>
        <w:tc>
          <w:tcPr>
            <w:tcW w:w="1806" w:type="dxa"/>
            <w:tcBorders>
              <w:top w:val="nil"/>
              <w:left w:val="nil"/>
              <w:bottom w:val="single" w:color="auto" w:sz="4" w:space="0"/>
              <w:right w:val="single" w:color="auto" w:sz="4" w:space="0"/>
            </w:tcBorders>
            <w:noWrap/>
            <w:vAlign w:val="center"/>
          </w:tcPr>
          <w:p w14:paraId="39B8FBB4">
            <w:pPr>
              <w:widowControl/>
              <w:spacing w:line="360" w:lineRule="auto"/>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把</w:t>
            </w:r>
          </w:p>
        </w:tc>
      </w:tr>
      <w:tr w14:paraId="7642F3D7">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vAlign w:val="center"/>
          </w:tcPr>
          <w:p w14:paraId="0A4604CA">
            <w:pPr>
              <w:spacing w:line="360" w:lineRule="auto"/>
              <w:ind w:firstLine="210" w:firstLineChars="100"/>
              <w:jc w:val="left"/>
              <w:outlineLvl w:val="2"/>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4</w:t>
            </w:r>
          </w:p>
        </w:tc>
        <w:tc>
          <w:tcPr>
            <w:tcW w:w="3983" w:type="dxa"/>
            <w:tcBorders>
              <w:top w:val="nil"/>
              <w:left w:val="nil"/>
              <w:bottom w:val="single" w:color="auto" w:sz="4" w:space="0"/>
              <w:right w:val="single" w:color="auto" w:sz="4" w:space="0"/>
            </w:tcBorders>
            <w:vAlign w:val="center"/>
          </w:tcPr>
          <w:p w14:paraId="3B327B9F">
            <w:pPr>
              <w:widowControl/>
              <w:spacing w:line="360" w:lineRule="auto"/>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过滤器</w:t>
            </w:r>
          </w:p>
        </w:tc>
        <w:tc>
          <w:tcPr>
            <w:tcW w:w="1313" w:type="dxa"/>
            <w:tcBorders>
              <w:top w:val="nil"/>
              <w:left w:val="nil"/>
              <w:bottom w:val="single" w:color="auto" w:sz="4" w:space="0"/>
              <w:right w:val="single" w:color="auto" w:sz="4" w:space="0"/>
            </w:tcBorders>
            <w:noWrap/>
            <w:vAlign w:val="center"/>
          </w:tcPr>
          <w:p w14:paraId="1ABD4C1E">
            <w:pPr>
              <w:widowControl/>
              <w:spacing w:line="360" w:lineRule="auto"/>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4</w:t>
            </w:r>
          </w:p>
        </w:tc>
        <w:tc>
          <w:tcPr>
            <w:tcW w:w="1806" w:type="dxa"/>
            <w:tcBorders>
              <w:top w:val="nil"/>
              <w:left w:val="nil"/>
              <w:bottom w:val="single" w:color="auto" w:sz="4" w:space="0"/>
              <w:right w:val="single" w:color="auto" w:sz="4" w:space="0"/>
            </w:tcBorders>
            <w:noWrap/>
            <w:vAlign w:val="center"/>
          </w:tcPr>
          <w:p w14:paraId="6B1DEE11">
            <w:pPr>
              <w:widowControl/>
              <w:spacing w:line="360" w:lineRule="auto"/>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个</w:t>
            </w:r>
          </w:p>
        </w:tc>
      </w:tr>
      <w:tr w14:paraId="7C38A4BD">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vAlign w:val="center"/>
          </w:tcPr>
          <w:p w14:paraId="01916E14">
            <w:pPr>
              <w:spacing w:line="360" w:lineRule="auto"/>
              <w:ind w:firstLine="210" w:firstLineChars="100"/>
              <w:jc w:val="left"/>
              <w:outlineLvl w:val="2"/>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5</w:t>
            </w:r>
          </w:p>
        </w:tc>
        <w:tc>
          <w:tcPr>
            <w:tcW w:w="3983" w:type="dxa"/>
            <w:tcBorders>
              <w:top w:val="nil"/>
              <w:left w:val="nil"/>
              <w:bottom w:val="single" w:color="auto" w:sz="4" w:space="0"/>
              <w:right w:val="single" w:color="auto" w:sz="4" w:space="0"/>
            </w:tcBorders>
            <w:vAlign w:val="center"/>
          </w:tcPr>
          <w:p w14:paraId="4338A931">
            <w:pPr>
              <w:widowControl/>
              <w:spacing w:line="360" w:lineRule="auto"/>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手柄挂架</w:t>
            </w:r>
          </w:p>
        </w:tc>
        <w:tc>
          <w:tcPr>
            <w:tcW w:w="1313" w:type="dxa"/>
            <w:tcBorders>
              <w:top w:val="nil"/>
              <w:left w:val="nil"/>
              <w:bottom w:val="single" w:color="auto" w:sz="4" w:space="0"/>
              <w:right w:val="single" w:color="auto" w:sz="4" w:space="0"/>
            </w:tcBorders>
            <w:noWrap/>
            <w:vAlign w:val="center"/>
          </w:tcPr>
          <w:p w14:paraId="6FBF91EB">
            <w:pPr>
              <w:widowControl/>
              <w:spacing w:line="360" w:lineRule="auto"/>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1</w:t>
            </w:r>
          </w:p>
        </w:tc>
        <w:tc>
          <w:tcPr>
            <w:tcW w:w="1806" w:type="dxa"/>
            <w:tcBorders>
              <w:top w:val="nil"/>
              <w:left w:val="nil"/>
              <w:bottom w:val="single" w:color="auto" w:sz="4" w:space="0"/>
              <w:right w:val="single" w:color="auto" w:sz="4" w:space="0"/>
            </w:tcBorders>
            <w:noWrap/>
            <w:vAlign w:val="center"/>
          </w:tcPr>
          <w:p w14:paraId="234DD6DD">
            <w:pPr>
              <w:widowControl/>
              <w:spacing w:line="360" w:lineRule="auto"/>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个</w:t>
            </w:r>
          </w:p>
        </w:tc>
      </w:tr>
      <w:tr w14:paraId="57480EBD">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vAlign w:val="center"/>
          </w:tcPr>
          <w:p w14:paraId="2414D94D">
            <w:pPr>
              <w:spacing w:line="360" w:lineRule="auto"/>
              <w:ind w:firstLine="210" w:firstLineChars="100"/>
              <w:jc w:val="left"/>
              <w:outlineLvl w:val="2"/>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6</w:t>
            </w:r>
          </w:p>
        </w:tc>
        <w:tc>
          <w:tcPr>
            <w:tcW w:w="3983" w:type="dxa"/>
            <w:tcBorders>
              <w:top w:val="nil"/>
              <w:left w:val="nil"/>
              <w:bottom w:val="single" w:color="auto" w:sz="4" w:space="0"/>
              <w:right w:val="single" w:color="auto" w:sz="4" w:space="0"/>
            </w:tcBorders>
            <w:vAlign w:val="center"/>
          </w:tcPr>
          <w:p w14:paraId="4EE13584">
            <w:pPr>
              <w:widowControl/>
              <w:spacing w:line="360" w:lineRule="auto"/>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注射器卡扣</w:t>
            </w:r>
          </w:p>
        </w:tc>
        <w:tc>
          <w:tcPr>
            <w:tcW w:w="1313" w:type="dxa"/>
            <w:tcBorders>
              <w:top w:val="nil"/>
              <w:left w:val="nil"/>
              <w:bottom w:val="single" w:color="auto" w:sz="4" w:space="0"/>
              <w:right w:val="single" w:color="auto" w:sz="4" w:space="0"/>
            </w:tcBorders>
            <w:noWrap/>
            <w:vAlign w:val="center"/>
          </w:tcPr>
          <w:p w14:paraId="30CEDAED">
            <w:pPr>
              <w:widowControl/>
              <w:spacing w:line="360" w:lineRule="auto"/>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3</w:t>
            </w:r>
          </w:p>
        </w:tc>
        <w:tc>
          <w:tcPr>
            <w:tcW w:w="1806" w:type="dxa"/>
            <w:tcBorders>
              <w:top w:val="nil"/>
              <w:left w:val="nil"/>
              <w:bottom w:val="single" w:color="auto" w:sz="4" w:space="0"/>
              <w:right w:val="single" w:color="auto" w:sz="4" w:space="0"/>
            </w:tcBorders>
            <w:noWrap/>
            <w:vAlign w:val="center"/>
          </w:tcPr>
          <w:p w14:paraId="0AB18500">
            <w:pPr>
              <w:widowControl/>
              <w:spacing w:line="360" w:lineRule="auto"/>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个</w:t>
            </w:r>
          </w:p>
        </w:tc>
      </w:tr>
      <w:tr w14:paraId="5569F881">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vAlign w:val="center"/>
          </w:tcPr>
          <w:p w14:paraId="026A5C47">
            <w:pPr>
              <w:spacing w:line="360" w:lineRule="auto"/>
              <w:jc w:val="left"/>
              <w:outlineLvl w:val="2"/>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　7</w:t>
            </w:r>
          </w:p>
        </w:tc>
        <w:tc>
          <w:tcPr>
            <w:tcW w:w="3983" w:type="dxa"/>
            <w:tcBorders>
              <w:top w:val="nil"/>
              <w:left w:val="nil"/>
              <w:bottom w:val="single" w:color="auto" w:sz="4" w:space="0"/>
              <w:right w:val="single" w:color="auto" w:sz="4" w:space="0"/>
            </w:tcBorders>
            <w:vAlign w:val="center"/>
          </w:tcPr>
          <w:p w14:paraId="4562CDAF">
            <w:pPr>
              <w:widowControl/>
              <w:spacing w:line="360" w:lineRule="auto"/>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负压软管</w:t>
            </w:r>
          </w:p>
        </w:tc>
        <w:tc>
          <w:tcPr>
            <w:tcW w:w="1313" w:type="dxa"/>
            <w:tcBorders>
              <w:top w:val="nil"/>
              <w:left w:val="nil"/>
              <w:bottom w:val="single" w:color="auto" w:sz="4" w:space="0"/>
              <w:right w:val="single" w:color="auto" w:sz="4" w:space="0"/>
            </w:tcBorders>
            <w:noWrap/>
            <w:vAlign w:val="center"/>
          </w:tcPr>
          <w:p w14:paraId="7A798DC3">
            <w:pPr>
              <w:widowControl/>
              <w:spacing w:line="360" w:lineRule="auto"/>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5</w:t>
            </w:r>
          </w:p>
        </w:tc>
        <w:tc>
          <w:tcPr>
            <w:tcW w:w="1806" w:type="dxa"/>
            <w:tcBorders>
              <w:top w:val="nil"/>
              <w:left w:val="nil"/>
              <w:bottom w:val="single" w:color="auto" w:sz="4" w:space="0"/>
              <w:right w:val="single" w:color="auto" w:sz="4" w:space="0"/>
            </w:tcBorders>
            <w:noWrap/>
            <w:vAlign w:val="center"/>
          </w:tcPr>
          <w:p w14:paraId="244064DB">
            <w:pPr>
              <w:widowControl/>
              <w:spacing w:line="360" w:lineRule="auto"/>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根</w:t>
            </w:r>
          </w:p>
        </w:tc>
      </w:tr>
      <w:tr w14:paraId="40A0430B">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vAlign w:val="center"/>
          </w:tcPr>
          <w:p w14:paraId="5D6F499F">
            <w:pPr>
              <w:spacing w:line="360" w:lineRule="auto"/>
              <w:jc w:val="left"/>
              <w:outlineLvl w:val="2"/>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　8</w:t>
            </w:r>
          </w:p>
        </w:tc>
        <w:tc>
          <w:tcPr>
            <w:tcW w:w="3983" w:type="dxa"/>
            <w:tcBorders>
              <w:top w:val="nil"/>
              <w:left w:val="nil"/>
              <w:bottom w:val="single" w:color="auto" w:sz="4" w:space="0"/>
              <w:right w:val="single" w:color="auto" w:sz="4" w:space="0"/>
            </w:tcBorders>
            <w:vAlign w:val="center"/>
          </w:tcPr>
          <w:p w14:paraId="11685406">
            <w:pPr>
              <w:widowControl/>
              <w:spacing w:line="360" w:lineRule="auto"/>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电源适配器</w:t>
            </w:r>
          </w:p>
        </w:tc>
        <w:tc>
          <w:tcPr>
            <w:tcW w:w="1313" w:type="dxa"/>
            <w:tcBorders>
              <w:top w:val="nil"/>
              <w:left w:val="nil"/>
              <w:bottom w:val="single" w:color="auto" w:sz="4" w:space="0"/>
              <w:right w:val="single" w:color="auto" w:sz="4" w:space="0"/>
            </w:tcBorders>
            <w:noWrap/>
            <w:vAlign w:val="center"/>
          </w:tcPr>
          <w:p w14:paraId="6A6C15F0">
            <w:pPr>
              <w:widowControl/>
              <w:spacing w:line="360" w:lineRule="auto"/>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1</w:t>
            </w:r>
          </w:p>
        </w:tc>
        <w:tc>
          <w:tcPr>
            <w:tcW w:w="1806" w:type="dxa"/>
            <w:tcBorders>
              <w:top w:val="nil"/>
              <w:left w:val="nil"/>
              <w:bottom w:val="single" w:color="auto" w:sz="4" w:space="0"/>
              <w:right w:val="single" w:color="auto" w:sz="4" w:space="0"/>
            </w:tcBorders>
            <w:noWrap/>
            <w:vAlign w:val="center"/>
          </w:tcPr>
          <w:p w14:paraId="4F927506">
            <w:pPr>
              <w:widowControl/>
              <w:spacing w:line="360" w:lineRule="auto"/>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根</w:t>
            </w:r>
          </w:p>
        </w:tc>
      </w:tr>
      <w:tr w14:paraId="7AA6E141">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vAlign w:val="center"/>
          </w:tcPr>
          <w:p w14:paraId="5F38CAFF">
            <w:pPr>
              <w:spacing w:line="360" w:lineRule="auto"/>
              <w:jc w:val="left"/>
              <w:outlineLvl w:val="2"/>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　9</w:t>
            </w:r>
          </w:p>
        </w:tc>
        <w:tc>
          <w:tcPr>
            <w:tcW w:w="3983" w:type="dxa"/>
            <w:tcBorders>
              <w:top w:val="nil"/>
              <w:left w:val="nil"/>
              <w:bottom w:val="single" w:color="auto" w:sz="4" w:space="0"/>
              <w:right w:val="single" w:color="auto" w:sz="4" w:space="0"/>
            </w:tcBorders>
            <w:vAlign w:val="center"/>
          </w:tcPr>
          <w:p w14:paraId="20D075DA">
            <w:pPr>
              <w:widowControl/>
              <w:spacing w:line="360" w:lineRule="auto"/>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脚踏开关</w:t>
            </w:r>
          </w:p>
        </w:tc>
        <w:tc>
          <w:tcPr>
            <w:tcW w:w="1313" w:type="dxa"/>
            <w:tcBorders>
              <w:top w:val="nil"/>
              <w:left w:val="nil"/>
              <w:bottom w:val="single" w:color="auto" w:sz="4" w:space="0"/>
              <w:right w:val="single" w:color="auto" w:sz="4" w:space="0"/>
            </w:tcBorders>
            <w:noWrap/>
            <w:vAlign w:val="center"/>
          </w:tcPr>
          <w:p w14:paraId="7845DE2B">
            <w:pPr>
              <w:widowControl/>
              <w:spacing w:line="360" w:lineRule="auto"/>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1</w:t>
            </w:r>
          </w:p>
        </w:tc>
        <w:tc>
          <w:tcPr>
            <w:tcW w:w="1806" w:type="dxa"/>
            <w:tcBorders>
              <w:top w:val="nil"/>
              <w:left w:val="nil"/>
              <w:bottom w:val="single" w:color="auto" w:sz="4" w:space="0"/>
              <w:right w:val="single" w:color="auto" w:sz="4" w:space="0"/>
            </w:tcBorders>
            <w:noWrap/>
            <w:vAlign w:val="center"/>
          </w:tcPr>
          <w:p w14:paraId="2B691DBF">
            <w:pPr>
              <w:widowControl/>
              <w:spacing w:line="360" w:lineRule="auto"/>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个</w:t>
            </w:r>
          </w:p>
        </w:tc>
      </w:tr>
      <w:tr w14:paraId="5223A829">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vAlign w:val="center"/>
          </w:tcPr>
          <w:p w14:paraId="6F1C75A5">
            <w:pPr>
              <w:spacing w:line="360" w:lineRule="auto"/>
              <w:jc w:val="left"/>
              <w:outlineLvl w:val="2"/>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　10</w:t>
            </w:r>
          </w:p>
        </w:tc>
        <w:tc>
          <w:tcPr>
            <w:tcW w:w="3983" w:type="dxa"/>
            <w:tcBorders>
              <w:top w:val="nil"/>
              <w:left w:val="nil"/>
              <w:bottom w:val="single" w:color="auto" w:sz="4" w:space="0"/>
              <w:right w:val="single" w:color="auto" w:sz="4" w:space="0"/>
            </w:tcBorders>
            <w:vAlign w:val="center"/>
          </w:tcPr>
          <w:p w14:paraId="31DA1EAC">
            <w:pPr>
              <w:widowControl/>
              <w:spacing w:line="360" w:lineRule="auto"/>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保护套</w:t>
            </w:r>
          </w:p>
        </w:tc>
        <w:tc>
          <w:tcPr>
            <w:tcW w:w="1313" w:type="dxa"/>
            <w:tcBorders>
              <w:top w:val="nil"/>
              <w:left w:val="nil"/>
              <w:bottom w:val="single" w:color="auto" w:sz="4" w:space="0"/>
              <w:right w:val="single" w:color="auto" w:sz="4" w:space="0"/>
            </w:tcBorders>
            <w:noWrap/>
            <w:vAlign w:val="center"/>
          </w:tcPr>
          <w:p w14:paraId="17D77D56">
            <w:pPr>
              <w:widowControl/>
              <w:spacing w:line="360" w:lineRule="auto"/>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1</w:t>
            </w:r>
          </w:p>
        </w:tc>
        <w:tc>
          <w:tcPr>
            <w:tcW w:w="1806" w:type="dxa"/>
            <w:tcBorders>
              <w:top w:val="nil"/>
              <w:left w:val="nil"/>
              <w:bottom w:val="single" w:color="auto" w:sz="4" w:space="0"/>
              <w:right w:val="single" w:color="auto" w:sz="4" w:space="0"/>
            </w:tcBorders>
            <w:noWrap/>
            <w:vAlign w:val="center"/>
          </w:tcPr>
          <w:p w14:paraId="40EFFF58">
            <w:pPr>
              <w:widowControl/>
              <w:spacing w:line="360" w:lineRule="auto"/>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个</w:t>
            </w:r>
          </w:p>
        </w:tc>
      </w:tr>
      <w:tr w14:paraId="3D337A12">
        <w:tblPrEx>
          <w:tblCellMar>
            <w:top w:w="0" w:type="dxa"/>
            <w:left w:w="108" w:type="dxa"/>
            <w:bottom w:w="0" w:type="dxa"/>
            <w:right w:w="108" w:type="dxa"/>
          </w:tblCellMar>
        </w:tblPrEx>
        <w:trPr>
          <w:trHeight w:val="462" w:hRule="atLeast"/>
        </w:trPr>
        <w:tc>
          <w:tcPr>
            <w:tcW w:w="860" w:type="dxa"/>
            <w:tcBorders>
              <w:top w:val="single" w:color="auto" w:sz="4" w:space="0"/>
              <w:left w:val="single" w:color="auto" w:sz="4" w:space="0"/>
              <w:bottom w:val="single" w:color="auto" w:sz="4" w:space="0"/>
              <w:right w:val="single" w:color="auto" w:sz="4" w:space="0"/>
            </w:tcBorders>
            <w:vAlign w:val="center"/>
          </w:tcPr>
          <w:p w14:paraId="1B1A4D76">
            <w:pPr>
              <w:spacing w:line="360" w:lineRule="auto"/>
              <w:jc w:val="center"/>
              <w:outlineLvl w:val="2"/>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11</w:t>
            </w:r>
          </w:p>
        </w:tc>
        <w:tc>
          <w:tcPr>
            <w:tcW w:w="3983" w:type="dxa"/>
            <w:tcBorders>
              <w:top w:val="single" w:color="auto" w:sz="4" w:space="0"/>
              <w:left w:val="single" w:color="auto" w:sz="4" w:space="0"/>
              <w:bottom w:val="single" w:color="auto" w:sz="4" w:space="0"/>
              <w:right w:val="single" w:color="auto" w:sz="4" w:space="0"/>
            </w:tcBorders>
            <w:vAlign w:val="center"/>
          </w:tcPr>
          <w:p w14:paraId="5B1A6066">
            <w:pPr>
              <w:spacing w:line="360" w:lineRule="auto"/>
              <w:jc w:val="center"/>
              <w:outlineLvl w:val="2"/>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使用说明书</w:t>
            </w:r>
          </w:p>
        </w:tc>
        <w:tc>
          <w:tcPr>
            <w:tcW w:w="1313" w:type="dxa"/>
            <w:tcBorders>
              <w:top w:val="single" w:color="auto" w:sz="4" w:space="0"/>
              <w:left w:val="single" w:color="auto" w:sz="4" w:space="0"/>
              <w:bottom w:val="single" w:color="auto" w:sz="4" w:space="0"/>
              <w:right w:val="single" w:color="auto" w:sz="4" w:space="0"/>
            </w:tcBorders>
            <w:noWrap/>
            <w:vAlign w:val="center"/>
          </w:tcPr>
          <w:p w14:paraId="1DF117EA">
            <w:pPr>
              <w:spacing w:line="360" w:lineRule="auto"/>
              <w:jc w:val="center"/>
              <w:outlineLvl w:val="2"/>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1</w:t>
            </w:r>
          </w:p>
        </w:tc>
        <w:tc>
          <w:tcPr>
            <w:tcW w:w="1806" w:type="dxa"/>
            <w:tcBorders>
              <w:top w:val="single" w:color="auto" w:sz="4" w:space="0"/>
              <w:left w:val="single" w:color="auto" w:sz="4" w:space="0"/>
              <w:bottom w:val="single" w:color="auto" w:sz="4" w:space="0"/>
              <w:right w:val="single" w:color="auto" w:sz="4" w:space="0"/>
            </w:tcBorders>
            <w:noWrap/>
            <w:vAlign w:val="center"/>
          </w:tcPr>
          <w:p w14:paraId="452F288D">
            <w:pPr>
              <w:spacing w:line="360" w:lineRule="auto"/>
              <w:jc w:val="center"/>
              <w:outlineLvl w:val="2"/>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份</w:t>
            </w:r>
          </w:p>
        </w:tc>
      </w:tr>
      <w:tr w14:paraId="7D8317EF">
        <w:tblPrEx>
          <w:tblCellMar>
            <w:top w:w="0" w:type="dxa"/>
            <w:left w:w="108" w:type="dxa"/>
            <w:bottom w:w="0" w:type="dxa"/>
            <w:right w:w="108" w:type="dxa"/>
          </w:tblCellMar>
        </w:tblPrEx>
        <w:trPr>
          <w:trHeight w:val="462" w:hRule="atLeast"/>
        </w:trPr>
        <w:tc>
          <w:tcPr>
            <w:tcW w:w="860" w:type="dxa"/>
            <w:tcBorders>
              <w:top w:val="single" w:color="auto" w:sz="4" w:space="0"/>
              <w:left w:val="single" w:color="auto" w:sz="4" w:space="0"/>
              <w:bottom w:val="single" w:color="auto" w:sz="4" w:space="0"/>
              <w:right w:val="single" w:color="auto" w:sz="4" w:space="0"/>
            </w:tcBorders>
            <w:vAlign w:val="center"/>
          </w:tcPr>
          <w:p w14:paraId="7ADEDE00">
            <w:pPr>
              <w:spacing w:line="360" w:lineRule="auto"/>
              <w:jc w:val="center"/>
              <w:outlineLvl w:val="2"/>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12</w:t>
            </w:r>
          </w:p>
        </w:tc>
        <w:tc>
          <w:tcPr>
            <w:tcW w:w="3983" w:type="dxa"/>
            <w:tcBorders>
              <w:top w:val="single" w:color="auto" w:sz="4" w:space="0"/>
              <w:left w:val="single" w:color="auto" w:sz="4" w:space="0"/>
              <w:bottom w:val="single" w:color="auto" w:sz="4" w:space="0"/>
              <w:right w:val="single" w:color="auto" w:sz="4" w:space="0"/>
            </w:tcBorders>
            <w:vAlign w:val="center"/>
          </w:tcPr>
          <w:p w14:paraId="52F7A18E">
            <w:pPr>
              <w:spacing w:line="360" w:lineRule="auto"/>
              <w:jc w:val="center"/>
              <w:outlineLvl w:val="2"/>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合格证</w:t>
            </w:r>
          </w:p>
        </w:tc>
        <w:tc>
          <w:tcPr>
            <w:tcW w:w="1313" w:type="dxa"/>
            <w:tcBorders>
              <w:top w:val="single" w:color="auto" w:sz="4" w:space="0"/>
              <w:left w:val="single" w:color="auto" w:sz="4" w:space="0"/>
              <w:bottom w:val="single" w:color="auto" w:sz="4" w:space="0"/>
              <w:right w:val="single" w:color="auto" w:sz="4" w:space="0"/>
            </w:tcBorders>
            <w:noWrap/>
            <w:vAlign w:val="center"/>
          </w:tcPr>
          <w:p w14:paraId="00FDB2A9">
            <w:pPr>
              <w:spacing w:line="360" w:lineRule="auto"/>
              <w:jc w:val="center"/>
              <w:outlineLvl w:val="2"/>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1</w:t>
            </w:r>
          </w:p>
        </w:tc>
        <w:tc>
          <w:tcPr>
            <w:tcW w:w="1806" w:type="dxa"/>
            <w:tcBorders>
              <w:top w:val="single" w:color="auto" w:sz="4" w:space="0"/>
              <w:left w:val="single" w:color="auto" w:sz="4" w:space="0"/>
              <w:bottom w:val="single" w:color="auto" w:sz="4" w:space="0"/>
              <w:right w:val="single" w:color="auto" w:sz="4" w:space="0"/>
            </w:tcBorders>
            <w:noWrap/>
            <w:vAlign w:val="center"/>
          </w:tcPr>
          <w:p w14:paraId="1FBBAA5B">
            <w:pPr>
              <w:spacing w:line="360" w:lineRule="auto"/>
              <w:jc w:val="center"/>
              <w:outlineLvl w:val="2"/>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份</w:t>
            </w:r>
          </w:p>
        </w:tc>
      </w:tr>
      <w:tr w14:paraId="43C17BD4">
        <w:tblPrEx>
          <w:tblCellMar>
            <w:top w:w="0" w:type="dxa"/>
            <w:left w:w="108" w:type="dxa"/>
            <w:bottom w:w="0" w:type="dxa"/>
            <w:right w:w="108" w:type="dxa"/>
          </w:tblCellMar>
        </w:tblPrEx>
        <w:trPr>
          <w:trHeight w:val="462" w:hRule="atLeast"/>
        </w:trPr>
        <w:tc>
          <w:tcPr>
            <w:tcW w:w="860" w:type="dxa"/>
            <w:tcBorders>
              <w:top w:val="single" w:color="auto" w:sz="4" w:space="0"/>
              <w:left w:val="single" w:color="auto" w:sz="4" w:space="0"/>
              <w:bottom w:val="single" w:color="auto" w:sz="4" w:space="0"/>
              <w:right w:val="single" w:color="auto" w:sz="4" w:space="0"/>
            </w:tcBorders>
            <w:vAlign w:val="center"/>
          </w:tcPr>
          <w:p w14:paraId="293A1DFB">
            <w:pPr>
              <w:spacing w:line="360" w:lineRule="auto"/>
              <w:jc w:val="center"/>
              <w:outlineLvl w:val="2"/>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13</w:t>
            </w:r>
          </w:p>
        </w:tc>
        <w:tc>
          <w:tcPr>
            <w:tcW w:w="3983" w:type="dxa"/>
            <w:tcBorders>
              <w:top w:val="single" w:color="auto" w:sz="4" w:space="0"/>
              <w:left w:val="single" w:color="auto" w:sz="4" w:space="0"/>
              <w:bottom w:val="single" w:color="auto" w:sz="4" w:space="0"/>
              <w:right w:val="single" w:color="auto" w:sz="4" w:space="0"/>
            </w:tcBorders>
            <w:vAlign w:val="center"/>
          </w:tcPr>
          <w:p w14:paraId="359CE280">
            <w:pPr>
              <w:spacing w:line="360" w:lineRule="auto"/>
              <w:jc w:val="center"/>
              <w:outlineLvl w:val="2"/>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装箱单</w:t>
            </w:r>
          </w:p>
        </w:tc>
        <w:tc>
          <w:tcPr>
            <w:tcW w:w="1313" w:type="dxa"/>
            <w:tcBorders>
              <w:top w:val="single" w:color="auto" w:sz="4" w:space="0"/>
              <w:left w:val="single" w:color="auto" w:sz="4" w:space="0"/>
              <w:bottom w:val="single" w:color="auto" w:sz="4" w:space="0"/>
              <w:right w:val="single" w:color="auto" w:sz="4" w:space="0"/>
            </w:tcBorders>
            <w:noWrap/>
            <w:vAlign w:val="center"/>
          </w:tcPr>
          <w:p w14:paraId="5EAA2ACE">
            <w:pPr>
              <w:spacing w:line="360" w:lineRule="auto"/>
              <w:jc w:val="center"/>
              <w:outlineLvl w:val="2"/>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1</w:t>
            </w:r>
          </w:p>
        </w:tc>
        <w:tc>
          <w:tcPr>
            <w:tcW w:w="1806" w:type="dxa"/>
            <w:tcBorders>
              <w:top w:val="single" w:color="auto" w:sz="4" w:space="0"/>
              <w:left w:val="single" w:color="auto" w:sz="4" w:space="0"/>
              <w:bottom w:val="single" w:color="auto" w:sz="4" w:space="0"/>
              <w:right w:val="single" w:color="auto" w:sz="4" w:space="0"/>
            </w:tcBorders>
            <w:noWrap/>
            <w:vAlign w:val="center"/>
          </w:tcPr>
          <w:p w14:paraId="413906AA">
            <w:pPr>
              <w:spacing w:line="360" w:lineRule="auto"/>
              <w:jc w:val="center"/>
              <w:outlineLvl w:val="2"/>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份</w:t>
            </w:r>
          </w:p>
        </w:tc>
      </w:tr>
    </w:tbl>
    <w:p w14:paraId="1BD284BE">
      <w:pPr>
        <w:numPr>
          <w:ilvl w:val="0"/>
          <w:numId w:val="0"/>
        </w:numPr>
        <w:spacing w:line="276" w:lineRule="auto"/>
        <w:ind w:firstLine="210" w:firstLineChars="100"/>
        <w:jc w:val="left"/>
        <w:rPr>
          <w:rFonts w:hint="default" w:ascii="Times New Roman" w:hAnsi="Times New Roman" w:eastAsia="宋体" w:cs="Times New Roman"/>
          <w:color w:val="000000" w:themeColor="text1"/>
          <w:szCs w:val="21"/>
          <w:lang w:val="en-US" w:eastAsia="zh-CN"/>
          <w14:textFill>
            <w14:solidFill>
              <w14:schemeClr w14:val="tx1"/>
            </w14:solidFill>
          </w14:textFill>
        </w:rPr>
      </w:pPr>
    </w:p>
    <w:p w14:paraId="2A1A88A8">
      <w:pPr>
        <w:numPr>
          <w:ilvl w:val="0"/>
          <w:numId w:val="0"/>
        </w:numPr>
        <w:spacing w:line="276" w:lineRule="auto"/>
        <w:ind w:left="-141" w:leftChars="-67" w:firstLine="0" w:firstLineChars="0"/>
        <w:jc w:val="left"/>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
          <w:bCs/>
          <w:color w:val="000000" w:themeColor="text1"/>
          <w:kern w:val="2"/>
          <w:sz w:val="24"/>
          <w:szCs w:val="24"/>
          <w:lang w:val="en-US" w:eastAsia="zh-CN" w:bidi="ar-SA"/>
          <w14:textFill>
            <w14:solidFill>
              <w14:schemeClr w14:val="tx1"/>
            </w14:solidFill>
          </w14:textFill>
        </w:rPr>
        <w:t>三、</w:t>
      </w: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商务要求</w:t>
      </w:r>
    </w:p>
    <w:p w14:paraId="5480DD53">
      <w:pPr>
        <w:numPr>
          <w:ilvl w:val="0"/>
          <w:numId w:val="0"/>
        </w:numPr>
        <w:spacing w:line="360" w:lineRule="auto"/>
        <w:rPr>
          <w:rFonts w:hint="eastAsia" w:ascii="Times New Roman" w:hAnsi="Times New Roman" w:eastAsia="宋体" w:cs="Times New Roman"/>
          <w:b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bCs/>
          <w:color w:val="000000" w:themeColor="text1"/>
          <w:kern w:val="0"/>
          <w:sz w:val="21"/>
          <w:szCs w:val="21"/>
          <w:lang w:val="en-US" w:eastAsia="zh-CN" w:bidi="ar-SA"/>
          <w14:textFill>
            <w14:solidFill>
              <w14:schemeClr w14:val="tx1"/>
            </w14:solidFill>
          </w14:textFill>
        </w:rPr>
        <w:t>1、中标人必须按项目进度安排计划，派出适当的技术人员到安装现场负责免费安装和调试工作。在安装施工期间，严格遵守用户方的有关规定。</w:t>
      </w:r>
    </w:p>
    <w:p w14:paraId="53D06E3E">
      <w:pPr>
        <w:tabs>
          <w:tab w:val="left" w:pos="0"/>
          <w:tab w:val="left" w:pos="420"/>
        </w:tabs>
        <w:spacing w:line="360" w:lineRule="auto"/>
        <w:rPr>
          <w:rFonts w:hint="eastAsia" w:ascii="Times New Roman" w:hAnsi="Times New Roman" w:eastAsia="宋体" w:cs="Times New Roman"/>
          <w:b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bCs/>
          <w:color w:val="000000" w:themeColor="text1"/>
          <w:kern w:val="0"/>
          <w:sz w:val="21"/>
          <w:szCs w:val="21"/>
          <w:lang w:val="en-US" w:eastAsia="zh-CN" w:bidi="ar-SA"/>
          <w14:textFill>
            <w14:solidFill>
              <w14:schemeClr w14:val="tx1"/>
            </w14:solidFill>
          </w14:textFill>
        </w:rPr>
        <w:t>2、安装验收期间，在招标人所在地对招标人进行仪器操作、日常维护、所有检测指标的现场培训，2年内须提供不少于每年1次的上门免费培训服务。培训所需全部费用均已包含在投标报价中。</w:t>
      </w:r>
    </w:p>
    <w:p w14:paraId="62F1C3B1">
      <w:pPr>
        <w:numPr>
          <w:ilvl w:val="0"/>
          <w:numId w:val="0"/>
        </w:numPr>
        <w:tabs>
          <w:tab w:val="left" w:pos="0"/>
          <w:tab w:val="left" w:pos="420"/>
        </w:tabs>
        <w:spacing w:line="360" w:lineRule="auto"/>
        <w:rPr>
          <w:rFonts w:hint="eastAsia" w:ascii="Times New Roman" w:hAnsi="Times New Roman" w:eastAsia="宋体" w:cs="Times New Roman"/>
          <w:b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bCs/>
          <w:color w:val="000000" w:themeColor="text1"/>
          <w:kern w:val="0"/>
          <w:sz w:val="21"/>
          <w:szCs w:val="21"/>
          <w:lang w:val="en-US" w:eastAsia="zh-CN" w:bidi="ar-SA"/>
          <w14:textFill>
            <w14:solidFill>
              <w14:schemeClr w14:val="tx1"/>
            </w14:solidFill>
          </w14:textFill>
        </w:rPr>
        <w:t>3、中标人应将关键主机设备的用户手册、保修手册、有关单证资料及配备件、随机工具等交付给采购人，使用操作及安全须知等重要资料应附有中文说明。</w:t>
      </w:r>
    </w:p>
    <w:p w14:paraId="041F61E9">
      <w:pPr>
        <w:numPr>
          <w:ilvl w:val="0"/>
          <w:numId w:val="0"/>
        </w:numPr>
        <w:tabs>
          <w:tab w:val="left" w:pos="0"/>
          <w:tab w:val="left" w:pos="420"/>
        </w:tabs>
        <w:spacing w:line="360" w:lineRule="auto"/>
        <w:rPr>
          <w:rFonts w:hint="eastAsia" w:ascii="Times New Roman" w:hAnsi="Times New Roman" w:eastAsia="宋体" w:cs="Times New Roman"/>
          <w:b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bCs/>
          <w:color w:val="000000" w:themeColor="text1"/>
          <w:kern w:val="0"/>
          <w:sz w:val="21"/>
          <w:szCs w:val="21"/>
          <w:lang w:val="en-US" w:eastAsia="zh-CN" w:bidi="ar-SA"/>
          <w14:textFill>
            <w14:solidFill>
              <w14:schemeClr w14:val="tx1"/>
            </w14:solidFill>
          </w14:textFill>
        </w:rPr>
        <w:t>4、招标人按照采购合同规定的技术、服务、安全标准组织对中标人履约情况进行验收，并出具验收书。验收书应当包括每一项技术、服务、安全标准的履约情况。</w:t>
      </w:r>
    </w:p>
    <w:p w14:paraId="2581F9B0">
      <w:pPr>
        <w:numPr>
          <w:ilvl w:val="0"/>
          <w:numId w:val="0"/>
        </w:numPr>
        <w:spacing w:line="360" w:lineRule="auto"/>
        <w:rPr>
          <w:rFonts w:hint="eastAsia" w:ascii="Times New Roman" w:hAnsi="Times New Roman" w:eastAsia="宋体" w:cs="Times New Roman"/>
          <w:b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bCs/>
          <w:color w:val="000000" w:themeColor="text1"/>
          <w:kern w:val="0"/>
          <w:sz w:val="21"/>
          <w:szCs w:val="21"/>
          <w:lang w:val="en-US" w:eastAsia="zh-CN" w:bidi="ar-SA"/>
          <w14:textFill>
            <w14:solidFill>
              <w14:schemeClr w14:val="tx1"/>
            </w14:solidFill>
          </w14:textFill>
        </w:rPr>
        <w:t>5、交付验收标准依次序对照适用标准为：①符合中华人民共和国“国家安全质量标准、环保标准或行业标准；”②符合招标文件和响应承诺中招标人认可的合理最佳配置、参数及各项要求；③货物来源国官方标准。货物为原厂商未启封全新包装，具出厂合格证，序列号、包装箱号与出厂批号一致，并可追溯查阅。所有随设备的附件必须齐全。</w:t>
      </w:r>
    </w:p>
    <w:p w14:paraId="2EF08886">
      <w:pPr>
        <w:numPr>
          <w:ilvl w:val="0"/>
          <w:numId w:val="0"/>
        </w:numPr>
        <w:spacing w:line="360" w:lineRule="auto"/>
        <w:rPr>
          <w:rFonts w:hint="eastAsia" w:ascii="Times New Roman" w:hAnsi="Times New Roman" w:eastAsia="宋体" w:cs="Times New Roman"/>
          <w:b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bCs/>
          <w:color w:val="000000" w:themeColor="text1"/>
          <w:kern w:val="0"/>
          <w:sz w:val="21"/>
          <w:szCs w:val="21"/>
          <w:lang w:val="en-US" w:eastAsia="zh-CN" w:bidi="ar-SA"/>
          <w14:textFill>
            <w14:solidFill>
              <w14:schemeClr w14:val="tx1"/>
            </w14:solidFill>
          </w14:textFill>
        </w:rPr>
        <w:t>6、中标人将货物的用户手册、保修手册、有关单证资料及备品备件、随机工具等交付给招标人，使用操作及安全须知等重要资料应附有中文说明。货物验收所发生的检验费用由中标人负担。</w:t>
      </w:r>
    </w:p>
    <w:p w14:paraId="5471C76C">
      <w:pPr>
        <w:numPr>
          <w:ilvl w:val="0"/>
          <w:numId w:val="0"/>
        </w:numPr>
        <w:spacing w:line="360" w:lineRule="auto"/>
        <w:rPr>
          <w:rFonts w:hint="eastAsia" w:ascii="Times New Roman" w:hAnsi="Times New Roman" w:eastAsia="宋体" w:cs="Times New Roman"/>
          <w:b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bCs/>
          <w:color w:val="000000" w:themeColor="text1"/>
          <w:kern w:val="0"/>
          <w:sz w:val="21"/>
          <w:szCs w:val="21"/>
          <w:lang w:val="en-US" w:eastAsia="zh-CN" w:bidi="ar-SA"/>
          <w14:textFill>
            <w14:solidFill>
              <w14:schemeClr w14:val="tx1"/>
            </w14:solidFill>
          </w14:textFill>
        </w:rPr>
        <w:t>8、中标人负责设备的供货、安装调试、验收，经招标人验收合格方可。</w:t>
      </w:r>
      <w:r>
        <w:rPr>
          <w:rFonts w:hint="eastAsia" w:ascii="Times New Roman" w:hAnsi="Times New Roman" w:eastAsia="宋体" w:cs="Times New Roman"/>
          <w:bCs/>
          <w:color w:val="000000" w:themeColor="text1"/>
          <w:kern w:val="0"/>
          <w:sz w:val="21"/>
          <w:szCs w:val="21"/>
          <w:highlight w:val="yellow"/>
          <w:lang w:val="en-US" w:eastAsia="zh-CN" w:bidi="ar-SA"/>
          <w14:textFill>
            <w14:solidFill>
              <w14:schemeClr w14:val="tx1"/>
            </w14:solidFill>
          </w14:textFill>
        </w:rPr>
        <w:t>质量保证期不少于2 年</w:t>
      </w:r>
      <w:r>
        <w:rPr>
          <w:rFonts w:hint="eastAsia" w:ascii="Times New Roman" w:hAnsi="Times New Roman" w:eastAsia="宋体" w:cs="Times New Roman"/>
          <w:bCs/>
          <w:color w:val="000000" w:themeColor="text1"/>
          <w:kern w:val="0"/>
          <w:sz w:val="21"/>
          <w:szCs w:val="21"/>
          <w:lang w:val="en-US" w:eastAsia="zh-CN" w:bidi="ar-SA"/>
          <w14:textFill>
            <w14:solidFill>
              <w14:schemeClr w14:val="tx1"/>
            </w14:solidFill>
          </w14:textFill>
        </w:rPr>
        <w:t>，自招标人和中标人代表在货物安装调试验收后的验收书上签字之日起计算。“技术要求”中另有要求的，以其中的要求为准。维保服务可由设备制造商或其授权服务商提供，授权文件须包含制造商公章、授权项目编号、有效期及官方联系人，确保授权链完整可溯。质保期后设备维修配件更换只收取成本费用。须提供由原设备生产厂家授权的总代理或者原设备生产厂家针对本项目出具的售后服务承诺书。</w:t>
      </w:r>
    </w:p>
    <w:p w14:paraId="16266C1E">
      <w:pPr>
        <w:spacing w:line="360" w:lineRule="auto"/>
        <w:rPr>
          <w:rFonts w:hint="eastAsia" w:ascii="Times New Roman" w:hAnsi="Times New Roman" w:eastAsia="宋体" w:cs="Times New Roman"/>
          <w:b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bCs/>
          <w:color w:val="000000" w:themeColor="text1"/>
          <w:kern w:val="0"/>
          <w:sz w:val="21"/>
          <w:szCs w:val="21"/>
          <w:lang w:val="en-US" w:eastAsia="zh-CN" w:bidi="ar-SA"/>
          <w14:textFill>
            <w14:solidFill>
              <w14:schemeClr w14:val="tx1"/>
            </w14:solidFill>
          </w14:textFill>
        </w:rPr>
        <w:t>9、对招标人的服务通知，中标人在接报后 24 小时内响应， 48 小时内到达现场， 72 小时内处理完毕。若在 72 小时内仍未能有效解决，则自取走故障件之日起，3个工作日内提供备品以保证业务正常开展，若无法按时修复或如期提供备品造成停机，则按1:2延长保修期(即停机1天，延长保修期2天，如停用时间累计超过60天则保修期重新计算。)，若完全不能修复则由中标人免费更换同款整机。</w:t>
      </w:r>
    </w:p>
    <w:p w14:paraId="370143F9">
      <w:pPr>
        <w:spacing w:line="360" w:lineRule="auto"/>
        <w:rPr>
          <w:rFonts w:hint="eastAsia" w:ascii="Times New Roman" w:hAnsi="Times New Roman" w:eastAsia="宋体" w:cs="Times New Roman"/>
          <w:bCs/>
          <w:color w:val="FF0000"/>
          <w:kern w:val="0"/>
          <w:sz w:val="21"/>
          <w:szCs w:val="21"/>
          <w:lang w:val="en-US" w:eastAsia="zh-CN" w:bidi="ar-SA"/>
        </w:rPr>
      </w:pPr>
      <w:r>
        <w:rPr>
          <w:rFonts w:hint="eastAsia" w:ascii="Times New Roman" w:hAnsi="Times New Roman" w:eastAsia="宋体" w:cs="Times New Roman"/>
          <w:bCs/>
          <w:color w:val="FF0000"/>
          <w:kern w:val="0"/>
          <w:sz w:val="21"/>
          <w:szCs w:val="21"/>
          <w:lang w:val="en-US" w:eastAsia="zh-CN" w:bidi="ar-SA"/>
        </w:rPr>
        <w:t>★10、中标人承担设备首次计量费用。</w:t>
      </w:r>
    </w:p>
    <w:p w14:paraId="72257819">
      <w:pPr>
        <w:rPr>
          <w:rFonts w:hint="default" w:ascii="宋体" w:hAnsi="宋体" w:eastAsia="宋体" w:cs="宋体"/>
          <w:i w:val="0"/>
          <w:color w:val="000000"/>
          <w:kern w:val="0"/>
          <w:sz w:val="21"/>
          <w:szCs w:val="21"/>
          <w:highlight w:val="none"/>
          <w:u w:val="none"/>
          <w:lang w:val="en-US"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354E8E"/>
    <w:multiLevelType w:val="singleLevel"/>
    <w:tmpl w:val="9B354E8E"/>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C76"/>
    <w:rsid w:val="000013B3"/>
    <w:rsid w:val="00002985"/>
    <w:rsid w:val="00004425"/>
    <w:rsid w:val="000156B4"/>
    <w:rsid w:val="00020478"/>
    <w:rsid w:val="000214E4"/>
    <w:rsid w:val="0004574A"/>
    <w:rsid w:val="00051F24"/>
    <w:rsid w:val="00054CF9"/>
    <w:rsid w:val="00081250"/>
    <w:rsid w:val="000A3F88"/>
    <w:rsid w:val="000B5F70"/>
    <w:rsid w:val="000B7574"/>
    <w:rsid w:val="000C2093"/>
    <w:rsid w:val="000E295A"/>
    <w:rsid w:val="000E3842"/>
    <w:rsid w:val="000F2121"/>
    <w:rsid w:val="000F793C"/>
    <w:rsid w:val="00100234"/>
    <w:rsid w:val="00107683"/>
    <w:rsid w:val="001216CD"/>
    <w:rsid w:val="00126162"/>
    <w:rsid w:val="001366A5"/>
    <w:rsid w:val="00136AF7"/>
    <w:rsid w:val="00142A18"/>
    <w:rsid w:val="0014407F"/>
    <w:rsid w:val="00176A03"/>
    <w:rsid w:val="0018453A"/>
    <w:rsid w:val="0018488F"/>
    <w:rsid w:val="001A034F"/>
    <w:rsid w:val="001C4EA4"/>
    <w:rsid w:val="001D08FE"/>
    <w:rsid w:val="001D5A73"/>
    <w:rsid w:val="001D6057"/>
    <w:rsid w:val="001F344F"/>
    <w:rsid w:val="001F3C73"/>
    <w:rsid w:val="001F3F88"/>
    <w:rsid w:val="001F6F6C"/>
    <w:rsid w:val="00207680"/>
    <w:rsid w:val="0021252E"/>
    <w:rsid w:val="00232752"/>
    <w:rsid w:val="0023488E"/>
    <w:rsid w:val="00236B53"/>
    <w:rsid w:val="00237C14"/>
    <w:rsid w:val="00244FE1"/>
    <w:rsid w:val="0025060F"/>
    <w:rsid w:val="00251F27"/>
    <w:rsid w:val="002646AA"/>
    <w:rsid w:val="00274644"/>
    <w:rsid w:val="002757C5"/>
    <w:rsid w:val="00276757"/>
    <w:rsid w:val="0028498F"/>
    <w:rsid w:val="0029604A"/>
    <w:rsid w:val="002A7719"/>
    <w:rsid w:val="002B6096"/>
    <w:rsid w:val="002C5223"/>
    <w:rsid w:val="002E08C8"/>
    <w:rsid w:val="002E1324"/>
    <w:rsid w:val="002E3FFF"/>
    <w:rsid w:val="002F71A2"/>
    <w:rsid w:val="002F74A6"/>
    <w:rsid w:val="003007ED"/>
    <w:rsid w:val="00312453"/>
    <w:rsid w:val="003146AE"/>
    <w:rsid w:val="003301D5"/>
    <w:rsid w:val="003328EA"/>
    <w:rsid w:val="00337BF2"/>
    <w:rsid w:val="003548B2"/>
    <w:rsid w:val="0035719F"/>
    <w:rsid w:val="00366108"/>
    <w:rsid w:val="0037270A"/>
    <w:rsid w:val="00374DFB"/>
    <w:rsid w:val="00385A1B"/>
    <w:rsid w:val="003955FF"/>
    <w:rsid w:val="003A3A27"/>
    <w:rsid w:val="003A56E1"/>
    <w:rsid w:val="003C248D"/>
    <w:rsid w:val="003E183D"/>
    <w:rsid w:val="003E67F3"/>
    <w:rsid w:val="003F29D2"/>
    <w:rsid w:val="003F4FCD"/>
    <w:rsid w:val="00416356"/>
    <w:rsid w:val="00423804"/>
    <w:rsid w:val="00425254"/>
    <w:rsid w:val="00425989"/>
    <w:rsid w:val="00427A35"/>
    <w:rsid w:val="00435B67"/>
    <w:rsid w:val="004404F3"/>
    <w:rsid w:val="00443B9C"/>
    <w:rsid w:val="00450999"/>
    <w:rsid w:val="0045454C"/>
    <w:rsid w:val="00476864"/>
    <w:rsid w:val="00486BDF"/>
    <w:rsid w:val="004C0DB0"/>
    <w:rsid w:val="004D77B5"/>
    <w:rsid w:val="004F6FAC"/>
    <w:rsid w:val="00502C19"/>
    <w:rsid w:val="00516389"/>
    <w:rsid w:val="00520F19"/>
    <w:rsid w:val="00536404"/>
    <w:rsid w:val="005655EB"/>
    <w:rsid w:val="00574697"/>
    <w:rsid w:val="00582878"/>
    <w:rsid w:val="0058713F"/>
    <w:rsid w:val="005D0447"/>
    <w:rsid w:val="005D0D12"/>
    <w:rsid w:val="005D4D36"/>
    <w:rsid w:val="005D7236"/>
    <w:rsid w:val="005D7CAC"/>
    <w:rsid w:val="005E49C2"/>
    <w:rsid w:val="006078C6"/>
    <w:rsid w:val="00627384"/>
    <w:rsid w:val="0062761A"/>
    <w:rsid w:val="00627FA8"/>
    <w:rsid w:val="0065606C"/>
    <w:rsid w:val="00661222"/>
    <w:rsid w:val="00661CFB"/>
    <w:rsid w:val="006620A1"/>
    <w:rsid w:val="00680AD4"/>
    <w:rsid w:val="00685D4C"/>
    <w:rsid w:val="006918CF"/>
    <w:rsid w:val="006A2665"/>
    <w:rsid w:val="006B6AE4"/>
    <w:rsid w:val="006C63B9"/>
    <w:rsid w:val="006E6AB5"/>
    <w:rsid w:val="006F4CC7"/>
    <w:rsid w:val="00707B26"/>
    <w:rsid w:val="00727861"/>
    <w:rsid w:val="00732759"/>
    <w:rsid w:val="007331D2"/>
    <w:rsid w:val="00737192"/>
    <w:rsid w:val="00740E1A"/>
    <w:rsid w:val="0075298D"/>
    <w:rsid w:val="00781287"/>
    <w:rsid w:val="00790C8C"/>
    <w:rsid w:val="00795A4E"/>
    <w:rsid w:val="007B47B7"/>
    <w:rsid w:val="007C002E"/>
    <w:rsid w:val="007C4A19"/>
    <w:rsid w:val="007C7182"/>
    <w:rsid w:val="007E51C6"/>
    <w:rsid w:val="0080286E"/>
    <w:rsid w:val="008173C7"/>
    <w:rsid w:val="00821C95"/>
    <w:rsid w:val="00834148"/>
    <w:rsid w:val="00846189"/>
    <w:rsid w:val="00847D52"/>
    <w:rsid w:val="0086227F"/>
    <w:rsid w:val="00867DF5"/>
    <w:rsid w:val="00870932"/>
    <w:rsid w:val="00875540"/>
    <w:rsid w:val="00884E7A"/>
    <w:rsid w:val="00890C37"/>
    <w:rsid w:val="00894DEA"/>
    <w:rsid w:val="008A21E8"/>
    <w:rsid w:val="008A7B23"/>
    <w:rsid w:val="008B0723"/>
    <w:rsid w:val="008B1EBD"/>
    <w:rsid w:val="008B7C2C"/>
    <w:rsid w:val="008C7306"/>
    <w:rsid w:val="008D3018"/>
    <w:rsid w:val="008E5615"/>
    <w:rsid w:val="008E63EC"/>
    <w:rsid w:val="008E6FF2"/>
    <w:rsid w:val="008F36A6"/>
    <w:rsid w:val="008F3E78"/>
    <w:rsid w:val="00907E0F"/>
    <w:rsid w:val="009216EB"/>
    <w:rsid w:val="00921F27"/>
    <w:rsid w:val="009263FD"/>
    <w:rsid w:val="0094246B"/>
    <w:rsid w:val="0094769D"/>
    <w:rsid w:val="00955935"/>
    <w:rsid w:val="009566C1"/>
    <w:rsid w:val="00957B58"/>
    <w:rsid w:val="00960782"/>
    <w:rsid w:val="00963D27"/>
    <w:rsid w:val="00981C96"/>
    <w:rsid w:val="00994CE6"/>
    <w:rsid w:val="009A6EBB"/>
    <w:rsid w:val="009B54C3"/>
    <w:rsid w:val="009B7133"/>
    <w:rsid w:val="009B787E"/>
    <w:rsid w:val="009C36D2"/>
    <w:rsid w:val="009D03EB"/>
    <w:rsid w:val="009D250F"/>
    <w:rsid w:val="009D5B6B"/>
    <w:rsid w:val="009E055B"/>
    <w:rsid w:val="009E71C8"/>
    <w:rsid w:val="009F2D58"/>
    <w:rsid w:val="009F4392"/>
    <w:rsid w:val="00A041D1"/>
    <w:rsid w:val="00A11988"/>
    <w:rsid w:val="00A273C6"/>
    <w:rsid w:val="00A325AB"/>
    <w:rsid w:val="00A46032"/>
    <w:rsid w:val="00A46238"/>
    <w:rsid w:val="00A52C76"/>
    <w:rsid w:val="00A61A89"/>
    <w:rsid w:val="00A625FF"/>
    <w:rsid w:val="00A808D9"/>
    <w:rsid w:val="00A84B72"/>
    <w:rsid w:val="00A8640F"/>
    <w:rsid w:val="00A915AC"/>
    <w:rsid w:val="00AA33E9"/>
    <w:rsid w:val="00AD0D9D"/>
    <w:rsid w:val="00AD1975"/>
    <w:rsid w:val="00AD2B0A"/>
    <w:rsid w:val="00AD7478"/>
    <w:rsid w:val="00AF066B"/>
    <w:rsid w:val="00AF1803"/>
    <w:rsid w:val="00AF5327"/>
    <w:rsid w:val="00AF5F9F"/>
    <w:rsid w:val="00B05533"/>
    <w:rsid w:val="00B24EF3"/>
    <w:rsid w:val="00B336BD"/>
    <w:rsid w:val="00B5031B"/>
    <w:rsid w:val="00B50DAB"/>
    <w:rsid w:val="00B57B28"/>
    <w:rsid w:val="00B60365"/>
    <w:rsid w:val="00B76E47"/>
    <w:rsid w:val="00B82B42"/>
    <w:rsid w:val="00B8347A"/>
    <w:rsid w:val="00B90E07"/>
    <w:rsid w:val="00BA7785"/>
    <w:rsid w:val="00BB1540"/>
    <w:rsid w:val="00BC715F"/>
    <w:rsid w:val="00BE5D20"/>
    <w:rsid w:val="00BE723E"/>
    <w:rsid w:val="00BF04CB"/>
    <w:rsid w:val="00BF19BC"/>
    <w:rsid w:val="00C0148D"/>
    <w:rsid w:val="00C01650"/>
    <w:rsid w:val="00C02DD7"/>
    <w:rsid w:val="00C04AD8"/>
    <w:rsid w:val="00C07BCC"/>
    <w:rsid w:val="00C179AB"/>
    <w:rsid w:val="00C34EAD"/>
    <w:rsid w:val="00C402D4"/>
    <w:rsid w:val="00C438CE"/>
    <w:rsid w:val="00C4599B"/>
    <w:rsid w:val="00C5324D"/>
    <w:rsid w:val="00C677FE"/>
    <w:rsid w:val="00C7071E"/>
    <w:rsid w:val="00C72056"/>
    <w:rsid w:val="00C86088"/>
    <w:rsid w:val="00C9169B"/>
    <w:rsid w:val="00CA280D"/>
    <w:rsid w:val="00CA2DF1"/>
    <w:rsid w:val="00CB67EB"/>
    <w:rsid w:val="00CD49AF"/>
    <w:rsid w:val="00CF24AA"/>
    <w:rsid w:val="00CF7BB0"/>
    <w:rsid w:val="00D04D52"/>
    <w:rsid w:val="00D15F66"/>
    <w:rsid w:val="00D24F07"/>
    <w:rsid w:val="00D24F30"/>
    <w:rsid w:val="00D32441"/>
    <w:rsid w:val="00D36C17"/>
    <w:rsid w:val="00D405FB"/>
    <w:rsid w:val="00D533AC"/>
    <w:rsid w:val="00D70C72"/>
    <w:rsid w:val="00D74088"/>
    <w:rsid w:val="00D757CB"/>
    <w:rsid w:val="00D76231"/>
    <w:rsid w:val="00D810F9"/>
    <w:rsid w:val="00D8191C"/>
    <w:rsid w:val="00D906F5"/>
    <w:rsid w:val="00D9250A"/>
    <w:rsid w:val="00DA58C2"/>
    <w:rsid w:val="00DB4E07"/>
    <w:rsid w:val="00DC16AF"/>
    <w:rsid w:val="00DD61FF"/>
    <w:rsid w:val="00DD7819"/>
    <w:rsid w:val="00DF1D66"/>
    <w:rsid w:val="00DF47B2"/>
    <w:rsid w:val="00E00133"/>
    <w:rsid w:val="00E00522"/>
    <w:rsid w:val="00E13A16"/>
    <w:rsid w:val="00E32C8E"/>
    <w:rsid w:val="00E402C8"/>
    <w:rsid w:val="00E53740"/>
    <w:rsid w:val="00E62300"/>
    <w:rsid w:val="00E719B0"/>
    <w:rsid w:val="00E80960"/>
    <w:rsid w:val="00E82D0F"/>
    <w:rsid w:val="00E831A9"/>
    <w:rsid w:val="00E93D32"/>
    <w:rsid w:val="00EA5EA0"/>
    <w:rsid w:val="00EB4781"/>
    <w:rsid w:val="00EC7D3F"/>
    <w:rsid w:val="00ED5C15"/>
    <w:rsid w:val="00EE5338"/>
    <w:rsid w:val="00EF3368"/>
    <w:rsid w:val="00F01D12"/>
    <w:rsid w:val="00F11C6A"/>
    <w:rsid w:val="00F2078C"/>
    <w:rsid w:val="00F2455D"/>
    <w:rsid w:val="00F26165"/>
    <w:rsid w:val="00F8306E"/>
    <w:rsid w:val="00F8413C"/>
    <w:rsid w:val="00FA6659"/>
    <w:rsid w:val="00FD5457"/>
    <w:rsid w:val="00FE7DDD"/>
    <w:rsid w:val="00FF6943"/>
    <w:rsid w:val="07F35D01"/>
    <w:rsid w:val="08913DD7"/>
    <w:rsid w:val="0D1A2DFE"/>
    <w:rsid w:val="11D90DF0"/>
    <w:rsid w:val="19EC18F2"/>
    <w:rsid w:val="1F7E65C1"/>
    <w:rsid w:val="28DC5109"/>
    <w:rsid w:val="32602E48"/>
    <w:rsid w:val="32863A70"/>
    <w:rsid w:val="38DB4D73"/>
    <w:rsid w:val="46087260"/>
    <w:rsid w:val="4AD8742A"/>
    <w:rsid w:val="4D8F1AEA"/>
    <w:rsid w:val="5C501E2C"/>
    <w:rsid w:val="5DAF1AA8"/>
    <w:rsid w:val="66677A18"/>
    <w:rsid w:val="672600C8"/>
    <w:rsid w:val="6A4C43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basedOn w:val="1"/>
    <w:next w:val="1"/>
    <w:unhideWhenUsed/>
    <w:qFormat/>
    <w:uiPriority w:val="9"/>
    <w:pPr>
      <w:keepLines/>
      <w:spacing w:line="360" w:lineRule="auto"/>
      <w:outlineLvl w:val="3"/>
    </w:pPr>
    <w:rPr>
      <w:rFonts w:eastAsia="Times New Roman" w:asciiTheme="majorHAnsi" w:hAnsiTheme="majorHAnsi" w:cstheme="majorBidi"/>
      <w:bCs/>
      <w:sz w:val="24"/>
      <w:szCs w:val="28"/>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ody Text"/>
    <w:basedOn w:val="1"/>
    <w:next w:val="1"/>
    <w:qFormat/>
    <w:uiPriority w:val="0"/>
    <w:rPr>
      <w:sz w:val="24"/>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0">
    <w:name w:val="List Paragraph"/>
    <w:basedOn w:val="1"/>
    <w:qFormat/>
    <w:uiPriority w:val="34"/>
    <w:pPr>
      <w:ind w:firstLine="420" w:firstLineChars="200"/>
    </w:pPr>
  </w:style>
  <w:style w:type="character" w:customStyle="1" w:styleId="11">
    <w:name w:val="页眉 字符"/>
    <w:basedOn w:val="9"/>
    <w:link w:val="6"/>
    <w:qFormat/>
    <w:uiPriority w:val="99"/>
    <w:rPr>
      <w:sz w:val="18"/>
      <w:szCs w:val="18"/>
    </w:rPr>
  </w:style>
  <w:style w:type="character" w:customStyle="1" w:styleId="12">
    <w:name w:val="页脚 字符"/>
    <w:basedOn w:val="9"/>
    <w:link w:val="5"/>
    <w:qFormat/>
    <w:uiPriority w:val="99"/>
    <w:rPr>
      <w:sz w:val="18"/>
      <w:szCs w:val="18"/>
    </w:rPr>
  </w:style>
  <w:style w:type="paragraph" w:customStyle="1" w:styleId="13">
    <w:name w:val="Body text|1"/>
    <w:basedOn w:val="1"/>
    <w:qFormat/>
    <w:uiPriority w:val="0"/>
    <w:pPr>
      <w:spacing w:after="120" w:line="379" w:lineRule="auto"/>
      <w:ind w:firstLine="300"/>
    </w:pPr>
    <w:rPr>
      <w:rFonts w:ascii="宋体" w:hAnsi="宋体" w:eastAsia="宋体" w:cs="宋体"/>
      <w:sz w:val="20"/>
      <w:szCs w:val="20"/>
      <w:lang w:val="zh-TW" w:eastAsia="zh-TW" w:bidi="zh-TW"/>
    </w:rPr>
  </w:style>
  <w:style w:type="paragraph" w:customStyle="1" w:styleId="14">
    <w:name w:val="Table Paragraph"/>
    <w:basedOn w:val="1"/>
    <w:qFormat/>
    <w:uiPriority w:val="1"/>
    <w:pPr>
      <w:spacing w:before="178"/>
      <w:ind w:left="9"/>
      <w:jc w:val="center"/>
    </w:pPr>
    <w:rPr>
      <w:rFonts w:ascii="宋体" w:hAnsi="宋体" w:eastAsia="宋体" w:cs="宋体"/>
      <w:lang w:val="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2460</Words>
  <Characters>2642</Characters>
  <Lines>13</Lines>
  <Paragraphs>3</Paragraphs>
  <TotalTime>31</TotalTime>
  <ScaleCrop>false</ScaleCrop>
  <LinksUpToDate>false</LinksUpToDate>
  <CharactersWithSpaces>2674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2024-04-17T08:11:00Z</dcterms:created>
  <dc:creator>Yu, Jiajie</dc:creator>
  <cp:lastModifiedBy>谭绍东</cp:lastModifiedBy>
  <dcterms:modified xsi:type="dcterms:W3CDTF">2026-09-01T07:14:19Z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eyJoZGlkIjoiMzk2MjIzMTc2YTQ5NDJkZmM4OWUxMTRkNTE3NzI1NjgiLCJ1c2VySWQiOiIxNzY2NDM2NzM5In0=</vt:lpwstr>
  </property>
  <property fmtid="{D5CDD505-2E9C-101B-9397-08002B2CF9AE}" pid="4" name="ICV">
    <vt:lpwstr>BA2DE12ACBC24D62A9B3F3EB91B22891_13</vt:lpwstr>
  </property>
</Properties>
</file>