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AE21D">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包一、轮转式切片机 1台 限价9万元</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名称：轮转式切片机 </w:t>
      </w:r>
    </w:p>
    <w:p w14:paraId="13F16E62">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数量：1台</w:t>
      </w:r>
    </w:p>
    <w:p w14:paraId="1449B61B">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货期：签订合同一个月内</w:t>
      </w:r>
    </w:p>
    <w:p w14:paraId="115D049A">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794EC44B">
      <w:pPr>
        <w:pStyle w:val="3"/>
        <w:spacing w:line="360" w:lineRule="auto"/>
        <w:ind w:firstLine="0" w:firstLineChars="0"/>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1.切片方式：半自动轮转式切片机；</w:t>
      </w:r>
    </w:p>
    <w:p w14:paraId="18DF199C">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2.显示方式：机身内置彩色触控屏；屏幕</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不小于</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4-5英寸</w:t>
      </w:r>
    </w:p>
    <w:p w14:paraId="3F832145">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▲3.用户管理：≥3个用户，实现对不同操作用户的切片数据管理；</w:t>
      </w:r>
    </w:p>
    <w:p w14:paraId="433594B2">
      <w:pPr>
        <w:spacing w:line="360" w:lineRule="auto"/>
        <w:ind w:firstLine="0" w:firstLineChars="0"/>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4.切片调节：</w:t>
      </w:r>
    </w:p>
    <w:p w14:paraId="7F797FB0">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4.1切片厚度：0.5-100μm； </w:t>
      </w:r>
    </w:p>
    <w:p w14:paraId="1FF9E1FE">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4.2切片厚度调节范围：0.5-5μm，0.5μm增幅 </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5-20μm，1-2μm增幅 </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20-60μm，5-10μm增幅 </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60-100μm，10-20μm增幅</w:t>
      </w:r>
    </w:p>
    <w:p w14:paraId="63FA974A">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4.3修片厚度：1-500μm; </w:t>
      </w:r>
    </w:p>
    <w:p w14:paraId="7E2E6844">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4.4修片厚度调节范围： 1-10μm，1μm增幅 </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10-20μm，2-5μm增幅 </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20-50μm，5-10μm增幅</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50-100μm，10-20μm增幅 </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100-600μm，50μm增幅</w:t>
      </w:r>
    </w:p>
    <w:p w14:paraId="68A5A882">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5.样本回缩：0-100μm，2-5μm增幅；</w:t>
      </w:r>
    </w:p>
    <w:p w14:paraId="0CD7BE87">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6.行程范围：水平行程范围≥25㎜，垂直行程范围≥70㎜;</w:t>
      </w:r>
    </w:p>
    <w:p w14:paraId="50587875">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7.进样</w:t>
      </w:r>
    </w:p>
    <w:p w14:paraId="42F422B8">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▲7.1进样速度：前进后退速度0—2000μm/s，速度可自由调节；</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 </w:t>
      </w:r>
    </w:p>
    <w:p w14:paraId="3EE5CCFB">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7.2最大样本夹头尺寸：55㎜×55㎜</w:t>
      </w:r>
    </w:p>
    <w:p w14:paraId="1676432B">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7.3样本头角度：样本头调节角度X/Y±8°-10°，具有零位标识刻度位，且X轴、Y轴均具有各8度的可视化刻度显示指引；</w:t>
      </w:r>
    </w:p>
    <w:p w14:paraId="736414A5">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7.4样本头记忆：具有样本头位置记忆功能，可进行一键快速定位</w:t>
      </w:r>
    </w:p>
    <w:p w14:paraId="0A9BE34B">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▲7.5样本头进样方式：≥3种，至少包括小手轮、外接独立操作控制器、机身左侧按键面板</w:t>
      </w:r>
    </w:p>
    <w:p w14:paraId="7E627072">
      <w:pPr>
        <w:pStyle w:val="3"/>
        <w:numPr>
          <w:ilvl w:val="0"/>
          <w:numId w:val="0"/>
        </w:num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手轮</w:t>
      </w:r>
    </w:p>
    <w:p w14:paraId="42120DA0">
      <w:pPr>
        <w:pStyle w:val="3"/>
        <w:numPr>
          <w:ilvl w:val="-1"/>
          <w:numId w:val="0"/>
        </w:num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▲8.1大手轮力平衡系统：采用非铅块配重方式，手感轻盈，操作轻松；</w:t>
      </w:r>
    </w:p>
    <w:p w14:paraId="066CEC19">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▲8.2大手轮锁定：可在最高点锁定和任意位置锁定；可通过屏幕上锁定图标颜色直观显示大手轮状态。</w:t>
      </w:r>
    </w:p>
    <w:p w14:paraId="3E016903">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8.3半刀修片功能：大手轮转动角度≥</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10</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 xml:space="preserve">°即可触发修片模式，半刀修片完成后整圈转动手轮，即可自动切换到切片模式； </w:t>
      </w:r>
    </w:p>
    <w:p w14:paraId="09109DF2">
      <w:pPr>
        <w:pStyle w:val="3"/>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▲8.4粗修方式：必须具有小手轮粗修方式；左侧粗修小手轮，具有≥3种方式操作（</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包含但不限于手柄、转盘、手指盘）</w:t>
      </w:r>
    </w:p>
    <w:p w14:paraId="035945EB">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▲8.5小手轮速度：小手轮控制样本进样速度可调，速度范围50μm/r——500μm/r；</w:t>
      </w:r>
    </w:p>
    <w:p w14:paraId="2FBA57CF">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▲8.6小手轮定位：小手轮转动有有细分定位，细分位≥100分格，每转动一分格，样本头前进或者后退幅度可调，调整范围为0.5um——5μm；</w:t>
      </w:r>
    </w:p>
    <w:p w14:paraId="16336240">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▲8.7小手轮调节：粗修小手轮进样方向、速度可通过软件快速实时调节，适应不同操作者使用习惯；</w:t>
      </w:r>
    </w:p>
    <w:p w14:paraId="3A2DAC2E">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9.刀架</w:t>
      </w:r>
    </w:p>
    <w:p w14:paraId="558648A0">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9.1刀架功能：可精准侧向位移，无需移动刀片即可保证刀片全长刀口使用，兼容宽刀和窄刀，内置护刀器和退刀装置；</w:t>
      </w:r>
    </w:p>
    <w:p w14:paraId="70E17CE1">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9.2刀架结构：采用燕尾槽结构的底座，前后移动和锁定精准、稳定；</w:t>
      </w:r>
    </w:p>
    <w:p w14:paraId="5CADE6E6">
      <w:pPr>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9.3刀座快速定位：具有快速定位位置和角度的刻度指示，位置范围为：0-2.5cm，调整角度范围为：0-10°；</w:t>
      </w:r>
    </w:p>
    <w:p w14:paraId="4E67AD37">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10.整机设计：机身采用全包裹式设计，具有大容量置物台，置物台面积≥500</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cm²</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w:t>
      </w:r>
    </w:p>
    <w:p w14:paraId="3E77E81A">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11.废屑收集盘：容积≥2</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L</w:t>
      </w: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，采用磁吸结构和防静电设计，减少石蜡粘附，易拆卸易清洁；</w:t>
      </w:r>
    </w:p>
    <w:p w14:paraId="7AC897AF">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12.数据接口：设备内置可拓展接口USB接口≥2个，网线接口≥1个，串行通信接口≥1个，可实现数据导入导出、软件升级更新、外接扫描枪、设备有线联网及外接控制面板等功能</w:t>
      </w:r>
    </w:p>
    <w:p w14:paraId="4F154327">
      <w:pPr>
        <w:pStyle w:val="3"/>
        <w:spacing w:line="360" w:lineRule="auto"/>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SA"/>
          <w14:textFill>
            <w14:solidFill>
              <w14:schemeClr w14:val="tx1"/>
            </w14:solidFill>
          </w14:textFill>
        </w:rPr>
        <w:t>▲13.关联售后管理系统：设备具有自动关联厂家的售后管理系统功能，用户通过扫设备上的小程序码可查询设备相关信息，并向厂家和代理商的售后团队提交售后服务、查看进度、服务评价以及产品知识库。</w:t>
      </w:r>
    </w:p>
    <w:p w14:paraId="46E29A2C">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质量保证期不少于5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769FEC37">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2延长保修期(即停机1天，延长保修期2天，如停用时间累计超过60天则保修期重新计算。)，若完全不能修复则由中标人免费更换同款整机。</w:t>
      </w:r>
    </w:p>
    <w:p w14:paraId="1127B99D">
      <w:pPr>
        <w:numPr>
          <w:ilvl w:val="0"/>
          <w:numId w:val="0"/>
        </w:numPr>
        <w:spacing w:line="276" w:lineRule="auto"/>
        <w:jc w:val="left"/>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bookmarkStart w:id="0" w:name="_GoBack"/>
      <w:bookmarkEnd w:id="0"/>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★10、如需计量检测，中标人承担设备首次计量费用。</w:t>
      </w:r>
    </w:p>
    <w:p w14:paraId="0BC39782">
      <w:pPr>
        <w:rPr>
          <w:rFonts w:hint="default" w:ascii="宋体" w:hAnsi="宋体" w:eastAsia="宋体" w:cs="宋体"/>
          <w:i w:val="0"/>
          <w:color w:val="000000"/>
          <w:kern w:val="0"/>
          <w:sz w:val="21"/>
          <w:szCs w:val="21"/>
          <w:highlight w:val="none"/>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76"/>
    <w:rsid w:val="000013B3"/>
    <w:rsid w:val="00004425"/>
    <w:rsid w:val="000156B4"/>
    <w:rsid w:val="00020478"/>
    <w:rsid w:val="000214E4"/>
    <w:rsid w:val="0004574A"/>
    <w:rsid w:val="00051F24"/>
    <w:rsid w:val="00054CF9"/>
    <w:rsid w:val="00081250"/>
    <w:rsid w:val="000A3F88"/>
    <w:rsid w:val="000B5F70"/>
    <w:rsid w:val="000B7574"/>
    <w:rsid w:val="000C2093"/>
    <w:rsid w:val="000E295A"/>
    <w:rsid w:val="000E3842"/>
    <w:rsid w:val="000F2121"/>
    <w:rsid w:val="000F793C"/>
    <w:rsid w:val="00100234"/>
    <w:rsid w:val="00107683"/>
    <w:rsid w:val="001216CD"/>
    <w:rsid w:val="00126162"/>
    <w:rsid w:val="001366A5"/>
    <w:rsid w:val="00136AF7"/>
    <w:rsid w:val="00142A18"/>
    <w:rsid w:val="0014407F"/>
    <w:rsid w:val="00176A03"/>
    <w:rsid w:val="0018453A"/>
    <w:rsid w:val="0018488F"/>
    <w:rsid w:val="001A034F"/>
    <w:rsid w:val="001C4EA4"/>
    <w:rsid w:val="001D08FE"/>
    <w:rsid w:val="001D5A73"/>
    <w:rsid w:val="001D6057"/>
    <w:rsid w:val="001F344F"/>
    <w:rsid w:val="001F3C73"/>
    <w:rsid w:val="001F3F88"/>
    <w:rsid w:val="001F6F6C"/>
    <w:rsid w:val="00207680"/>
    <w:rsid w:val="0021252E"/>
    <w:rsid w:val="00232752"/>
    <w:rsid w:val="0023488E"/>
    <w:rsid w:val="00236B53"/>
    <w:rsid w:val="00237C14"/>
    <w:rsid w:val="00244FE1"/>
    <w:rsid w:val="0025060F"/>
    <w:rsid w:val="00251F27"/>
    <w:rsid w:val="002646AA"/>
    <w:rsid w:val="00274644"/>
    <w:rsid w:val="002757C5"/>
    <w:rsid w:val="00276757"/>
    <w:rsid w:val="0028498F"/>
    <w:rsid w:val="0029604A"/>
    <w:rsid w:val="002A7719"/>
    <w:rsid w:val="002B6096"/>
    <w:rsid w:val="002C5223"/>
    <w:rsid w:val="002E08C8"/>
    <w:rsid w:val="002E1324"/>
    <w:rsid w:val="002E3FFF"/>
    <w:rsid w:val="002F71A2"/>
    <w:rsid w:val="002F74A6"/>
    <w:rsid w:val="003007ED"/>
    <w:rsid w:val="00312453"/>
    <w:rsid w:val="003146AE"/>
    <w:rsid w:val="003301D5"/>
    <w:rsid w:val="003328EA"/>
    <w:rsid w:val="00337BF2"/>
    <w:rsid w:val="003548B2"/>
    <w:rsid w:val="0035719F"/>
    <w:rsid w:val="00366108"/>
    <w:rsid w:val="0037270A"/>
    <w:rsid w:val="00374DFB"/>
    <w:rsid w:val="00385A1B"/>
    <w:rsid w:val="003955FF"/>
    <w:rsid w:val="003A3A27"/>
    <w:rsid w:val="003A4806"/>
    <w:rsid w:val="003A56E1"/>
    <w:rsid w:val="003C248D"/>
    <w:rsid w:val="003E183D"/>
    <w:rsid w:val="003E67F3"/>
    <w:rsid w:val="003F29D2"/>
    <w:rsid w:val="003F4FCD"/>
    <w:rsid w:val="00416356"/>
    <w:rsid w:val="00423804"/>
    <w:rsid w:val="00425254"/>
    <w:rsid w:val="00425989"/>
    <w:rsid w:val="00427A35"/>
    <w:rsid w:val="00435B67"/>
    <w:rsid w:val="004404F3"/>
    <w:rsid w:val="00443B9C"/>
    <w:rsid w:val="00450999"/>
    <w:rsid w:val="0045454C"/>
    <w:rsid w:val="00476864"/>
    <w:rsid w:val="00486BDF"/>
    <w:rsid w:val="004C0DB0"/>
    <w:rsid w:val="004D77B5"/>
    <w:rsid w:val="004F6FAC"/>
    <w:rsid w:val="00502C19"/>
    <w:rsid w:val="00516389"/>
    <w:rsid w:val="00520F19"/>
    <w:rsid w:val="00536404"/>
    <w:rsid w:val="005655EB"/>
    <w:rsid w:val="00574697"/>
    <w:rsid w:val="00582878"/>
    <w:rsid w:val="0058713F"/>
    <w:rsid w:val="005D0447"/>
    <w:rsid w:val="005D0D12"/>
    <w:rsid w:val="005D4D36"/>
    <w:rsid w:val="005D7236"/>
    <w:rsid w:val="005D7CAC"/>
    <w:rsid w:val="005E49C2"/>
    <w:rsid w:val="006078C6"/>
    <w:rsid w:val="00627384"/>
    <w:rsid w:val="0062761A"/>
    <w:rsid w:val="00627FA8"/>
    <w:rsid w:val="0065606C"/>
    <w:rsid w:val="00661222"/>
    <w:rsid w:val="00661CFB"/>
    <w:rsid w:val="006620A1"/>
    <w:rsid w:val="00680AD4"/>
    <w:rsid w:val="00685D4C"/>
    <w:rsid w:val="006918CF"/>
    <w:rsid w:val="006A2665"/>
    <w:rsid w:val="006B6AE4"/>
    <w:rsid w:val="006C63B9"/>
    <w:rsid w:val="006E6AB5"/>
    <w:rsid w:val="006F4CC7"/>
    <w:rsid w:val="00707B26"/>
    <w:rsid w:val="00727861"/>
    <w:rsid w:val="00732759"/>
    <w:rsid w:val="007331D2"/>
    <w:rsid w:val="00737192"/>
    <w:rsid w:val="00740E1A"/>
    <w:rsid w:val="0075298D"/>
    <w:rsid w:val="00781287"/>
    <w:rsid w:val="00790C8C"/>
    <w:rsid w:val="00795A4E"/>
    <w:rsid w:val="007B47B7"/>
    <w:rsid w:val="007C002E"/>
    <w:rsid w:val="007C4A19"/>
    <w:rsid w:val="007C7182"/>
    <w:rsid w:val="007E51C6"/>
    <w:rsid w:val="0080286E"/>
    <w:rsid w:val="008173C7"/>
    <w:rsid w:val="00821C95"/>
    <w:rsid w:val="00834148"/>
    <w:rsid w:val="00846189"/>
    <w:rsid w:val="00847D52"/>
    <w:rsid w:val="0086227F"/>
    <w:rsid w:val="00867DF5"/>
    <w:rsid w:val="00870932"/>
    <w:rsid w:val="00875540"/>
    <w:rsid w:val="00884E7A"/>
    <w:rsid w:val="00890C37"/>
    <w:rsid w:val="00894DEA"/>
    <w:rsid w:val="008A21E8"/>
    <w:rsid w:val="008A7B23"/>
    <w:rsid w:val="008B0723"/>
    <w:rsid w:val="008B1EBD"/>
    <w:rsid w:val="008B7C2C"/>
    <w:rsid w:val="008C7306"/>
    <w:rsid w:val="008D3018"/>
    <w:rsid w:val="008E5615"/>
    <w:rsid w:val="008E63EC"/>
    <w:rsid w:val="008E6FF2"/>
    <w:rsid w:val="008F36A6"/>
    <w:rsid w:val="008F3E78"/>
    <w:rsid w:val="00907E0F"/>
    <w:rsid w:val="009216EB"/>
    <w:rsid w:val="00921F27"/>
    <w:rsid w:val="009263FD"/>
    <w:rsid w:val="0094246B"/>
    <w:rsid w:val="0094769D"/>
    <w:rsid w:val="00955935"/>
    <w:rsid w:val="009566C1"/>
    <w:rsid w:val="00957B58"/>
    <w:rsid w:val="00960782"/>
    <w:rsid w:val="00963D27"/>
    <w:rsid w:val="00981C96"/>
    <w:rsid w:val="00994CE6"/>
    <w:rsid w:val="009A6EBB"/>
    <w:rsid w:val="009B54C3"/>
    <w:rsid w:val="009B7133"/>
    <w:rsid w:val="009B787E"/>
    <w:rsid w:val="009C36D2"/>
    <w:rsid w:val="009D03EB"/>
    <w:rsid w:val="009D250F"/>
    <w:rsid w:val="009D5B6B"/>
    <w:rsid w:val="009E055B"/>
    <w:rsid w:val="009E71C8"/>
    <w:rsid w:val="009F2D58"/>
    <w:rsid w:val="009F4392"/>
    <w:rsid w:val="00A041D1"/>
    <w:rsid w:val="00A11988"/>
    <w:rsid w:val="00A273C6"/>
    <w:rsid w:val="00A325AB"/>
    <w:rsid w:val="00A46032"/>
    <w:rsid w:val="00A46238"/>
    <w:rsid w:val="00A52C76"/>
    <w:rsid w:val="00A61A89"/>
    <w:rsid w:val="00A625FF"/>
    <w:rsid w:val="00A808D9"/>
    <w:rsid w:val="00A84B72"/>
    <w:rsid w:val="00A8640F"/>
    <w:rsid w:val="00A915AC"/>
    <w:rsid w:val="00AA33E9"/>
    <w:rsid w:val="00AD0D9D"/>
    <w:rsid w:val="00AD1975"/>
    <w:rsid w:val="00AD2B0A"/>
    <w:rsid w:val="00AD7478"/>
    <w:rsid w:val="00AF066B"/>
    <w:rsid w:val="00AF1803"/>
    <w:rsid w:val="00AF5327"/>
    <w:rsid w:val="00AF5F9F"/>
    <w:rsid w:val="00B05533"/>
    <w:rsid w:val="00B24EF3"/>
    <w:rsid w:val="00B336BD"/>
    <w:rsid w:val="00B5031B"/>
    <w:rsid w:val="00B50DAB"/>
    <w:rsid w:val="00B57B28"/>
    <w:rsid w:val="00B60365"/>
    <w:rsid w:val="00B76E47"/>
    <w:rsid w:val="00B82B42"/>
    <w:rsid w:val="00B8347A"/>
    <w:rsid w:val="00B90E07"/>
    <w:rsid w:val="00BA7785"/>
    <w:rsid w:val="00BB1540"/>
    <w:rsid w:val="00BC715F"/>
    <w:rsid w:val="00BE5D20"/>
    <w:rsid w:val="00BE723E"/>
    <w:rsid w:val="00BF04CB"/>
    <w:rsid w:val="00BF19BC"/>
    <w:rsid w:val="00C0148D"/>
    <w:rsid w:val="00C01650"/>
    <w:rsid w:val="00C02DD7"/>
    <w:rsid w:val="00C04AD8"/>
    <w:rsid w:val="00C07BCC"/>
    <w:rsid w:val="00C179AB"/>
    <w:rsid w:val="00C34EAD"/>
    <w:rsid w:val="00C402D4"/>
    <w:rsid w:val="00C438CE"/>
    <w:rsid w:val="00C4599B"/>
    <w:rsid w:val="00C5324D"/>
    <w:rsid w:val="00C677FE"/>
    <w:rsid w:val="00C7071E"/>
    <w:rsid w:val="00C72056"/>
    <w:rsid w:val="00C86088"/>
    <w:rsid w:val="00C9169B"/>
    <w:rsid w:val="00CA280D"/>
    <w:rsid w:val="00CA2DF1"/>
    <w:rsid w:val="00CB67EB"/>
    <w:rsid w:val="00CD49AF"/>
    <w:rsid w:val="00CF24AA"/>
    <w:rsid w:val="00CF7BB0"/>
    <w:rsid w:val="00D04D52"/>
    <w:rsid w:val="00D15F66"/>
    <w:rsid w:val="00D24F07"/>
    <w:rsid w:val="00D24F30"/>
    <w:rsid w:val="00D32441"/>
    <w:rsid w:val="00D36C17"/>
    <w:rsid w:val="00D405FB"/>
    <w:rsid w:val="00D533AC"/>
    <w:rsid w:val="00D70C72"/>
    <w:rsid w:val="00D74088"/>
    <w:rsid w:val="00D757CB"/>
    <w:rsid w:val="00D76231"/>
    <w:rsid w:val="00D810F9"/>
    <w:rsid w:val="00D8191C"/>
    <w:rsid w:val="00D906F5"/>
    <w:rsid w:val="00D9250A"/>
    <w:rsid w:val="00DA58C2"/>
    <w:rsid w:val="00DB4E07"/>
    <w:rsid w:val="00DC16AF"/>
    <w:rsid w:val="00DD61FF"/>
    <w:rsid w:val="00DD7819"/>
    <w:rsid w:val="00DF1D66"/>
    <w:rsid w:val="00DF47B2"/>
    <w:rsid w:val="00E00133"/>
    <w:rsid w:val="00E00522"/>
    <w:rsid w:val="00E13A16"/>
    <w:rsid w:val="00E32C8E"/>
    <w:rsid w:val="00E402C8"/>
    <w:rsid w:val="00E53740"/>
    <w:rsid w:val="00E62300"/>
    <w:rsid w:val="00E719B0"/>
    <w:rsid w:val="00E80960"/>
    <w:rsid w:val="00E82D0F"/>
    <w:rsid w:val="00E831A9"/>
    <w:rsid w:val="00E93D32"/>
    <w:rsid w:val="00EA5EA0"/>
    <w:rsid w:val="00EB4781"/>
    <w:rsid w:val="00EC7D3F"/>
    <w:rsid w:val="00ED5C15"/>
    <w:rsid w:val="00EE5338"/>
    <w:rsid w:val="00EF3368"/>
    <w:rsid w:val="00F01D12"/>
    <w:rsid w:val="00F11C6A"/>
    <w:rsid w:val="00F2078C"/>
    <w:rsid w:val="00F2455D"/>
    <w:rsid w:val="00F26165"/>
    <w:rsid w:val="00F8306E"/>
    <w:rsid w:val="00F8413C"/>
    <w:rsid w:val="00FA6659"/>
    <w:rsid w:val="00FD5457"/>
    <w:rsid w:val="00FE7DDD"/>
    <w:rsid w:val="00FF6943"/>
    <w:rsid w:val="07F35D01"/>
    <w:rsid w:val="133A7CC5"/>
    <w:rsid w:val="19EC18F2"/>
    <w:rsid w:val="1F7E65C1"/>
    <w:rsid w:val="28DC5109"/>
    <w:rsid w:val="32863A70"/>
    <w:rsid w:val="503E6493"/>
    <w:rsid w:val="5C501E2C"/>
    <w:rsid w:val="5DAF1AA8"/>
    <w:rsid w:val="672600C8"/>
    <w:rsid w:val="6A4C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Lines/>
      <w:spacing w:line="360" w:lineRule="auto"/>
      <w:outlineLvl w:val="3"/>
    </w:pPr>
    <w:rPr>
      <w:rFonts w:eastAsia="Times New Roman" w:asciiTheme="majorHAnsi" w:hAnsiTheme="majorHAnsi" w:cstheme="majorBidi"/>
      <w:bCs/>
      <w:sz w:val="24"/>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next w:val="1"/>
    <w:qFormat/>
    <w:uiPriority w:val="0"/>
    <w:rPr>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2004</Words>
  <Characters>2278</Characters>
  <Lines>13</Lines>
  <Paragraphs>3</Paragraphs>
  <TotalTime>2</TotalTime>
  <ScaleCrop>false</ScaleCrop>
  <LinksUpToDate>false</LinksUpToDate>
  <CharactersWithSpaces>2304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2024-04-17T08:11:00Z</dcterms:created>
  <dc:creator>Yu, Jiajie</dc:creator>
  <cp:lastModifiedBy>谭绍东</cp:lastModifiedBy>
  <dcterms:modified xsi:type="dcterms:W3CDTF">2026-03-16T01:09:37Z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eyJoZGlkIjoiMzk2MjIzMTc2YTQ5NDJkZmM4OWUxMTRkNTE3NzI1NjgiLCJ1c2VySWQiOiI1MDU0NDUwMTIifQ==</vt:lpwstr>
  </property>
  <property fmtid="{D5CDD505-2E9C-101B-9397-08002B2CF9AE}" pid="4" name="ICV">
    <vt:lpwstr>362DA4C87A614BB597BDCB6DBACAE0BC_13</vt:lpwstr>
  </property>
</Properties>
</file>