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56" w:beforeLines="50" w:after="156" w:afterLines="50" w:line="700" w:lineRule="exact"/>
        <w:rPr>
          <w:rFonts w:hint="default" w:ascii="Times New Roman" w:hAnsi="Times New Roman" w:eastAsia="方正小标宋简体" w:cs="Times New Roman"/>
          <w:b w:val="0"/>
          <w:bCs/>
          <w:kern w:val="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2"/>
          <w:sz w:val="44"/>
          <w:szCs w:val="44"/>
        </w:rPr>
        <w:t>初审审查申请表-药物</w:t>
      </w: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A　项目基本信息</w:t>
      </w:r>
    </w:p>
    <w:tbl>
      <w:tblPr>
        <w:tblStyle w:val="7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4"/>
        <w:gridCol w:w="2556"/>
        <w:gridCol w:w="1975"/>
        <w:gridCol w:w="3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7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试验项目名称</w:t>
            </w:r>
          </w:p>
        </w:tc>
        <w:tc>
          <w:tcPr>
            <w:tcW w:w="7670" w:type="dxa"/>
            <w:gridSpan w:val="3"/>
            <w:tcBorders>
              <w:bottom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药品名称</w:t>
            </w:r>
          </w:p>
        </w:tc>
        <w:tc>
          <w:tcPr>
            <w:tcW w:w="7670" w:type="dxa"/>
            <w:gridSpan w:val="3"/>
            <w:tcBorders>
              <w:bottom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药品类别</w:t>
            </w:r>
          </w:p>
        </w:tc>
        <w:tc>
          <w:tcPr>
            <w:tcW w:w="7670" w:type="dxa"/>
            <w:gridSpan w:val="3"/>
            <w:tcBorders>
              <w:bottom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化学药品　　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生物制品　　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中药/天然药物　　　</w:t>
            </w:r>
          </w:p>
          <w:p>
            <w:pPr>
              <w:spacing w:line="300" w:lineRule="exact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进口药品　　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临床试验类型</w:t>
            </w:r>
          </w:p>
        </w:tc>
        <w:tc>
          <w:tcPr>
            <w:tcW w:w="7670" w:type="dxa"/>
            <w:gridSpan w:val="3"/>
            <w:tcBorders>
              <w:bottom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Ⅰ期药代动力学试验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Ⅱ期临床试验　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Ⅲ期临床试验  </w:t>
            </w:r>
          </w:p>
          <w:p>
            <w:pPr>
              <w:spacing w:line="30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Ⅳ期临床试验</w:t>
            </w:r>
          </w:p>
          <w:p>
            <w:pPr>
              <w:spacing w:line="30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□耐受性试验      □生物等效性  □临床验证   □其他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NMPA批件号</w:t>
            </w:r>
          </w:p>
        </w:tc>
        <w:tc>
          <w:tcPr>
            <w:tcW w:w="7670" w:type="dxa"/>
            <w:gridSpan w:val="3"/>
            <w:tcBorders>
              <w:bottom w:val="nil"/>
            </w:tcBorders>
            <w:vAlign w:val="center"/>
          </w:tcPr>
          <w:p>
            <w:pPr>
              <w:pStyle w:val="4"/>
              <w:spacing w:line="360" w:lineRule="auto"/>
              <w:rPr>
                <w:rFonts w:hint="default" w:ascii="Times New Roman" w:hAnsi="Times New Roman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7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多中心试验</w:t>
            </w:r>
          </w:p>
        </w:tc>
        <w:tc>
          <w:tcPr>
            <w:tcW w:w="2556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□是     　□否</w:t>
            </w:r>
          </w:p>
        </w:tc>
        <w:tc>
          <w:tcPr>
            <w:tcW w:w="19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试验中心数</w:t>
            </w:r>
          </w:p>
        </w:tc>
        <w:tc>
          <w:tcPr>
            <w:tcW w:w="3139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7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组长单位</w:t>
            </w:r>
          </w:p>
        </w:tc>
        <w:tc>
          <w:tcPr>
            <w:tcW w:w="2556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本机构角色</w:t>
            </w:r>
          </w:p>
        </w:tc>
        <w:tc>
          <w:tcPr>
            <w:tcW w:w="3139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组长单位  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参加单位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7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本机构研究例数/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受试者总人数</w:t>
            </w:r>
          </w:p>
        </w:tc>
        <w:tc>
          <w:tcPr>
            <w:tcW w:w="2556" w:type="dxa"/>
            <w:vAlign w:val="center"/>
          </w:tcPr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研究起止日期</w:t>
            </w:r>
          </w:p>
        </w:tc>
        <w:tc>
          <w:tcPr>
            <w:tcW w:w="3139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44" w:type="dxa"/>
            <w:gridSpan w:val="4"/>
            <w:vAlign w:val="center"/>
          </w:tcPr>
          <w:p>
            <w:pPr>
              <w:spacing w:line="276" w:lineRule="auto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该研究方案是否被其他伦理委员会否决过？   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□是      □否</w:t>
            </w: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该研究方案是否曾被暂停或终止过？         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20"/>
                <w:sz w:val="24"/>
                <w:szCs w:val="24"/>
              </w:rPr>
              <w:t>□是      □否</w:t>
            </w:r>
          </w:p>
        </w:tc>
      </w:tr>
    </w:tbl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Ｂ　申办者信息</w:t>
      </w:r>
    </w:p>
    <w:tbl>
      <w:tblPr>
        <w:tblStyle w:val="7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3"/>
        <w:gridCol w:w="2534"/>
        <w:gridCol w:w="1965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申办者</w:t>
            </w:r>
          </w:p>
        </w:tc>
        <w:tc>
          <w:tcPr>
            <w:tcW w:w="25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3167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申办者指定联系人</w:t>
            </w:r>
          </w:p>
        </w:tc>
        <w:tc>
          <w:tcPr>
            <w:tcW w:w="25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电话/E-mail</w:t>
            </w:r>
          </w:p>
        </w:tc>
        <w:tc>
          <w:tcPr>
            <w:tcW w:w="3167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监查员姓名</w:t>
            </w:r>
          </w:p>
        </w:tc>
        <w:tc>
          <w:tcPr>
            <w:tcW w:w="25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电话/E-mail</w:t>
            </w:r>
          </w:p>
        </w:tc>
        <w:tc>
          <w:tcPr>
            <w:tcW w:w="3167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Ｃ　主要研究者信息</w:t>
      </w:r>
    </w:p>
    <w:tbl>
      <w:tblPr>
        <w:tblStyle w:val="7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352"/>
        <w:gridCol w:w="1965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5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申请专业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专业负责人</w:t>
            </w:r>
          </w:p>
        </w:tc>
        <w:tc>
          <w:tcPr>
            <w:tcW w:w="3167" w:type="dxa"/>
            <w:vAlign w:val="center"/>
          </w:tcPr>
          <w:p>
            <w:pPr>
              <w:widowControl/>
              <w:spacing w:line="360" w:lineRule="auto"/>
              <w:rPr>
                <w:rFonts w:hint="default"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5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主要研究者姓名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316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pacing w:val="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5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研究者指定联系人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3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5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D　招募受试者信息</w:t>
      </w:r>
    </w:p>
    <w:tbl>
      <w:tblPr>
        <w:tblStyle w:val="7"/>
        <w:tblpPr w:leftFromText="180" w:rightFromText="180" w:vertAnchor="text" w:horzAnchor="page" w:tblpX="1485" w:tblpY="142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7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受试者年龄范围</w:t>
            </w:r>
          </w:p>
        </w:tc>
        <w:tc>
          <w:tcPr>
            <w:tcW w:w="722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受试人群</w:t>
            </w:r>
          </w:p>
        </w:tc>
        <w:tc>
          <w:tcPr>
            <w:tcW w:w="7229" w:type="dxa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□正常人      　　　□病人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是否涉及弱势群体</w:t>
            </w:r>
          </w:p>
        </w:tc>
        <w:tc>
          <w:tcPr>
            <w:tcW w:w="7229" w:type="dxa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□未成年人     □孕妇/胎儿      □精神疾病者   □囚犯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□病入膏肓者   □穷人/无医保者  □认知损伤者   □文盲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□研究者的下属/学生   □研究单位或申办者的员工 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知情同意的例外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7229" w:type="dxa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□否，无此情况  □是，填写下列选项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申请在以下紧急情况下无法获得知情同意的研究。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1.研究人群处于危及生命的紧急状况，需要在发病后很快进行干预。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2.在紧急情况下，大部分病人无法给予知情同意，无时间找到法定代理人。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3.缺乏已被证实有效的治疗方法，而试验药物或干预有望挽救生命，恢复健康或减轻痛苦。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申请免除知情同意，利用以往临床诊疗中获得的病历/生物标本的研究。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申请免除知情同意，研究病历/生物标本的二次利用。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申请免除知情同意签字，签了字的知情同意书会对受试者的隐私构成不正当的威胁，联系受试者真实身份和研究的唯一记录是知情同意文件，并且主要风险就来自于受试者身份或个人隐私的泄露。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申请免除知情同意签字，研究对受试者的风险不大于最小风险，并且如果脱离“研究”背景，相同情况下的行为或程序不要求签署书面知情同意。例如，访谈研究，邮件或电话调查。</w:t>
            </w:r>
          </w:p>
        </w:tc>
      </w:tr>
    </w:tbl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Ｅ  研究者履历表</w:t>
      </w:r>
    </w:p>
    <w:tbl>
      <w:tblPr>
        <w:tblStyle w:val="7"/>
        <w:tblW w:w="9645" w:type="dxa"/>
        <w:tblInd w:w="-3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837"/>
        <w:gridCol w:w="765"/>
        <w:gridCol w:w="1035"/>
        <w:gridCol w:w="1295"/>
        <w:gridCol w:w="1440"/>
        <w:gridCol w:w="1710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03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技术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是否经过GCP培训</w:t>
            </w:r>
          </w:p>
        </w:tc>
        <w:tc>
          <w:tcPr>
            <w:tcW w:w="171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17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F 主要研究者利益冲突声明和签名</w:t>
      </w:r>
    </w:p>
    <w:tbl>
      <w:tblPr>
        <w:tblStyle w:val="7"/>
        <w:tblW w:w="9645" w:type="dxa"/>
        <w:tblInd w:w="-3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6"/>
        <w:gridCol w:w="2409"/>
        <w:gridCol w:w="1844"/>
        <w:gridCol w:w="2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6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利益冲突</w:t>
            </w:r>
          </w:p>
        </w:tc>
        <w:tc>
          <w:tcPr>
            <w:tcW w:w="6919" w:type="dxa"/>
            <w:gridSpan w:val="3"/>
          </w:tcPr>
          <w:p>
            <w:pPr>
              <w:spacing w:line="30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 xml:space="preserve">本人与该项目不存在利益冲突    </w:t>
            </w:r>
          </w:p>
          <w:p>
            <w:pPr>
              <w:spacing w:line="30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本人与该项目存在利益冲突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6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申请人责任声明</w:t>
            </w:r>
          </w:p>
        </w:tc>
        <w:tc>
          <w:tcPr>
            <w:tcW w:w="6919" w:type="dxa"/>
            <w:gridSpan w:val="3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我将遵循GCP、方案以及伦理委员会的要求，开展本项临床研究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6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</w:rPr>
              <w:t>申请人签字</w:t>
            </w:r>
          </w:p>
        </w:tc>
        <w:tc>
          <w:tcPr>
            <w:tcW w:w="2409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666" w:type="dxa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br w:type="page"/>
      </w:r>
    </w:p>
    <w:p>
      <w:pPr>
        <w:spacing w:line="440" w:lineRule="exac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附1：递交清单</w:t>
      </w:r>
    </w:p>
    <w:p>
      <w:pPr>
        <w:spacing w:line="440" w:lineRule="exac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（在递交资料相应的□内作标记，填写版本号和日期，并按此顺序装订成册）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药物临床试验初始审查申请书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主要研究者专业履历及其他相关资格文件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份（最新的）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研究者责任声明（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份）</w:t>
      </w:r>
      <w:bookmarkStart w:id="0" w:name="_GoBack"/>
      <w:bookmarkEnd w:id="0"/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国家药物临床研究批件（已经上市的药品需提供药品注册证）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中心组长单位伦理批件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其它伦理委员会对申请研究项目的重要决定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试验用药品检验报告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 xml:space="preserve">临床试验方案      中文版本号：      日期：          英文版本号：      日期：          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知情同意书        中文版本号：      日期：          英文版本号：      日期：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招募受试者广告    中文版本号：      日期：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 xml:space="preserve">研究者手册        中文版本号：      日期：  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原始病历          中文版本号：      日期：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 xml:space="preserve">病例报告表        中文版本号：      日期：  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 xml:space="preserve">患者日记卡        中文版本号：      日期：  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受试者筛选入选表、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受试者鉴认代码表、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受试者补偿文件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药品发放回收记录表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 xml:space="preserve"> 药品生产许可证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申办方营业执照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中华人民共和国组织机构代码证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申办方与CRO公司委托协议</w:t>
      </w:r>
    </w:p>
    <w:p>
      <w:pPr>
        <w:numPr>
          <w:ilvl w:val="0"/>
          <w:numId w:val="1"/>
        </w:numPr>
        <w:spacing w:line="44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CRO公司营业执照</w:t>
      </w:r>
    </w:p>
    <w:p>
      <w:pPr>
        <w:numPr>
          <w:ilvl w:val="0"/>
          <w:numId w:val="1"/>
        </w:numPr>
        <w:spacing w:line="440" w:lineRule="exact"/>
      </w:pPr>
      <w:r>
        <w:rPr>
          <w:rFonts w:hint="default" w:ascii="Times New Roman" w:hAnsi="Times New Roman" w:cs="Times New Roman"/>
          <w:sz w:val="24"/>
          <w:szCs w:val="24"/>
        </w:rPr>
        <w:sym w:font="Wingdings 2" w:char="00A3"/>
      </w:r>
      <w:r>
        <w:rPr>
          <w:rFonts w:hint="default" w:ascii="Times New Roman" w:hAnsi="Times New Roman" w:cs="Times New Roman"/>
          <w:sz w:val="24"/>
          <w:szCs w:val="24"/>
        </w:rPr>
        <w:t>伦理委员会审查过程中用于更好地判断，临床试验中是否确保受试者权益及安全基本医疗的相关资料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CD433D-CB19-4EB1-980F-2E1094A266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A6938D03-AE9D-4A8A-B8D5-2688E6D705FA}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240160FE-C79E-4FBE-8942-F08F1026386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E465B80-FEB5-4AB5-8497-334EF70F9DAB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B3682189-E18C-404C-AF3A-C804A2AA668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666A9AC2-BF57-4C50-882E-B4448BE3594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7" w:fontKey="{81185207-7A05-4A3D-86A9-467BB850CB6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sz w:val="18"/>
        <w:szCs w:val="18"/>
      </w:rPr>
    </w:pPr>
  </w:p>
  <w:p>
    <w:pPr>
      <w:jc w:val="left"/>
      <w:rPr>
        <w:rFonts w:hint="eastAsia" w:eastAsia="宋体"/>
        <w:lang w:eastAsia="zh-CN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1270</wp:posOffset>
              </wp:positionV>
              <wp:extent cx="989965" cy="1828800"/>
              <wp:effectExtent l="0" t="0" r="0" b="0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996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val="en-US" w:eastAsia="zh-CN"/>
                            </w:rPr>
                            <w:t>3</w:t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1pt;height:144pt;width:77.95pt;mso-position-horizontal:right;mso-position-horizontal-relative:margin;z-index:251662336;mso-width-relative:page;mso-height-relative:page;" filled="f" stroked="f" coordsize="21600,21600" o:gfxdata="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5E4u11AAAAAUBAAAPAAAAAAAAAAEAIAAAACIAAABkcnMvZG93bnJldi54bWxQ&#10;SwECFAAUAAAACACHTuJA0WHDIzQCAABY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val="en-US" w:eastAsia="zh-CN"/>
                      </w:rPr>
                      <w:t>3</w:t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429260</wp:posOffset>
              </wp:positionH>
              <wp:positionV relativeFrom="paragraph">
                <wp:posOffset>-9215120</wp:posOffset>
              </wp:positionV>
              <wp:extent cx="1666875" cy="247650"/>
              <wp:effectExtent l="0" t="0" r="0" b="0"/>
              <wp:wrapNone/>
              <wp:docPr id="30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6875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left"/>
                            <w:rPr>
                              <w:rFonts w:ascii="华文行楷" w:eastAsia="华文行楷"/>
                              <w:sz w:val="20"/>
                            </w:rPr>
                          </w:pPr>
                          <w:r>
                            <w:rPr>
                              <w:rFonts w:hint="eastAsia" w:ascii="华文行楷" w:eastAsia="华文行楷"/>
                              <w:sz w:val="20"/>
                            </w:rPr>
                            <w:t>广东省职业病防治院</w:t>
                          </w:r>
                        </w:p>
                        <w:p>
                          <w:pPr>
                            <w:pStyle w:val="6"/>
                            <w:jc w:val="left"/>
                            <w:rPr>
                              <w:rFonts w:ascii="华文行楷" w:eastAsia="华文行楷"/>
                              <w:sz w:val="21"/>
                            </w:rPr>
                          </w:pPr>
                        </w:p>
                        <w:p>
                          <w:pPr>
                            <w:pStyle w:val="6"/>
                            <w:jc w:val="left"/>
                            <w:rPr>
                              <w:rFonts w:ascii="华文行楷" w:eastAsia="华文行楷"/>
                              <w:sz w:val="21"/>
                            </w:rPr>
                          </w:pPr>
                        </w:p>
                        <w:p>
                          <w:pPr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矩形 1" o:spid="_x0000_s1026" o:spt="1" style="position:absolute;left:0pt;margin-left:33.8pt;margin-top:-725.6pt;height:19.5pt;width:131.25pt;z-index:251659264;mso-width-relative:page;mso-height-relative:page;" filled="f" stroked="f" coordsize="21600,21600" o:gfxdata="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oJdbPdAAAADgEA&#10;AA8AAAAAAAAAAQAgAAAAIgAAAGRycy9kb3ducmV2LnhtbFBLAQIUABQAAAAIAIdO4kBHmL9DowEA&#10;AEIDAAAOAAAAAAAAAAEAIAAAACwBAABkcnMvZTJvRG9jLnhtbFBLBQYAAAAABgAGAFkBAABBBQAA&#10;AAA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pStyle w:val="6"/>
                      <w:jc w:val="left"/>
                      <w:rPr>
                        <w:rFonts w:ascii="华文行楷" w:eastAsia="华文行楷"/>
                        <w:sz w:val="20"/>
                      </w:rPr>
                    </w:pPr>
                    <w:r>
                      <w:rPr>
                        <w:rFonts w:hint="eastAsia" w:ascii="华文行楷" w:eastAsia="华文行楷"/>
                        <w:sz w:val="20"/>
                      </w:rPr>
                      <w:t>广东省职业病防治院</w:t>
                    </w:r>
                  </w:p>
                  <w:p>
                    <w:pPr>
                      <w:pStyle w:val="6"/>
                      <w:jc w:val="left"/>
                      <w:rPr>
                        <w:rFonts w:ascii="华文行楷" w:eastAsia="华文行楷"/>
                        <w:sz w:val="21"/>
                      </w:rPr>
                    </w:pPr>
                  </w:p>
                  <w:p>
                    <w:pPr>
                      <w:pStyle w:val="6"/>
                      <w:jc w:val="left"/>
                      <w:rPr>
                        <w:rFonts w:ascii="华文行楷" w:eastAsia="华文行楷"/>
                        <w:sz w:val="21"/>
                      </w:rPr>
                    </w:pPr>
                  </w:p>
                  <w:p>
                    <w:pPr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</w:rPr>
      <w:t xml:space="preserve">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tabs>
        <w:tab w:val="left" w:pos="2910"/>
        <w:tab w:val="clear" w:pos="4153"/>
        <w:tab w:val="clear" w:pos="8306"/>
      </w:tabs>
      <w:jc w:val="lef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2907030</wp:posOffset>
              </wp:positionH>
              <wp:positionV relativeFrom="paragraph">
                <wp:posOffset>333375</wp:posOffset>
              </wp:positionV>
              <wp:extent cx="3073400" cy="191135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340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cs="Times New Roman"/>
                              <w:sz w:val="21"/>
                              <w:szCs w:val="21"/>
                              <w:lang w:val="en-US" w:eastAsia="zh-CN"/>
                            </w:rPr>
                            <w:t>GDHOD-EC-SOP-009/V1.0-AF01/V1.0</w:t>
                          </w:r>
                        </w:p>
                        <w:p>
                          <w:pPr>
                            <w:rPr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8.9pt;margin-top:26.25pt;height:15.05pt;width:242pt;mso-position-horizontal-relative:margin;z-index:251661312;mso-width-relative:page;mso-height-relative:page;" filled="f" stroked="f" coordsize="21600,21600" o:gfxdata="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7OQG22AAAAAkBAAAPAAAAAAAAAAEAIAAAACIAAABkcnMvZG93bnJldi54&#10;bWxQSwECFAAUAAAACACHTuJAULLxiDMCAABYBAAADgAAAAAAAAABACAAAAAn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 w:cs="Times New Roman"/>
                        <w:sz w:val="21"/>
                        <w:szCs w:val="21"/>
                        <w:lang w:val="en-US" w:eastAsia="zh-CN"/>
                      </w:rPr>
                      <w:t>GDHOD-EC-SOP-009/V1.0-AF01/V1.0</w:t>
                    </w:r>
                  </w:p>
                  <w:p>
                    <w:pPr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2736850</wp:posOffset>
              </wp:positionH>
              <wp:positionV relativeFrom="paragraph">
                <wp:posOffset>93980</wp:posOffset>
              </wp:positionV>
              <wp:extent cx="2574290" cy="255270"/>
              <wp:effectExtent l="0" t="0" r="0" b="0"/>
              <wp:wrapNone/>
              <wp:docPr id="29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4290" cy="255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left"/>
                            <w:rPr>
                              <w:rFonts w:hint="eastAsia" w:ascii="仿宋" w:hAnsi="仿宋" w:eastAsia="仿宋" w:cs="仿宋"/>
                              <w:sz w:val="21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0"/>
                            </w:rPr>
                            <w:t>药物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0"/>
                              <w:lang w:val="en-US" w:eastAsia="zh-CN"/>
                            </w:rPr>
                            <w:t>及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0"/>
                            </w:rPr>
                            <w:t>医疗器械临床试验伦理委员会文件</w:t>
                          </w:r>
                        </w:p>
                        <w:p>
                          <w:pPr>
                            <w:pStyle w:val="6"/>
                            <w:jc w:val="left"/>
                            <w:rPr>
                              <w:rFonts w:hint="eastAsia" w:ascii="仿宋" w:hAnsi="仿宋" w:eastAsia="仿宋" w:cs="仿宋"/>
                              <w:sz w:val="21"/>
                            </w:rPr>
                          </w:pPr>
                        </w:p>
                        <w:p>
                          <w:pPr>
                            <w:jc w:val="left"/>
                            <w:rPr>
                              <w:rFonts w:hint="eastAsia" w:ascii="仿宋" w:hAnsi="仿宋" w:eastAsia="仿宋" w:cs="仿宋"/>
                              <w:sz w:val="22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矩形 1" o:spid="_x0000_s1026" o:spt="1" style="position:absolute;left:0pt;margin-left:215.5pt;margin-top:7.4pt;height:20.1pt;width:202.7pt;z-index:251660288;mso-width-relative:page;mso-height-relative:page;" filled="f" stroked="f" coordsize="21600,21600" o:gfxdata="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1YL8oNkAAAAJAQAADwAA&#10;AAAAAAABACAAAAAiAAAAZHJzL2Rvd25yZXYueG1sUEsBAhQAFAAAAAgAh07iQKjVxOajAQAAQgMA&#10;AA4AAAAAAAAAAQAgAAAAKAEAAGRycy9lMm9Eb2MueG1sUEsFBgAAAAAGAAYAWQEAAD0FAAAAAA=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pStyle w:val="6"/>
                      <w:jc w:val="left"/>
                      <w:rPr>
                        <w:rFonts w:hint="eastAsia" w:ascii="仿宋" w:hAnsi="仿宋" w:eastAsia="仿宋" w:cs="仿宋"/>
                        <w:sz w:val="21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0"/>
                      </w:rPr>
                      <w:t>药物</w:t>
                    </w:r>
                    <w:r>
                      <w:rPr>
                        <w:rFonts w:hint="eastAsia" w:ascii="仿宋" w:hAnsi="仿宋" w:eastAsia="仿宋" w:cs="仿宋"/>
                        <w:sz w:val="20"/>
                        <w:lang w:val="en-US" w:eastAsia="zh-CN"/>
                      </w:rPr>
                      <w:t>及</w:t>
                    </w:r>
                    <w:r>
                      <w:rPr>
                        <w:rFonts w:hint="eastAsia" w:ascii="仿宋" w:hAnsi="仿宋" w:eastAsia="仿宋" w:cs="仿宋"/>
                        <w:sz w:val="20"/>
                      </w:rPr>
                      <w:t>医疗器械临床试验伦理委员会文件</w:t>
                    </w:r>
                  </w:p>
                  <w:p>
                    <w:pPr>
                      <w:pStyle w:val="6"/>
                      <w:jc w:val="left"/>
                      <w:rPr>
                        <w:rFonts w:hint="eastAsia" w:ascii="仿宋" w:hAnsi="仿宋" w:eastAsia="仿宋" w:cs="仿宋"/>
                        <w:sz w:val="21"/>
                      </w:rPr>
                    </w:pPr>
                  </w:p>
                  <w:p>
                    <w:pPr>
                      <w:jc w:val="left"/>
                      <w:rPr>
                        <w:rFonts w:hint="eastAsia" w:ascii="仿宋" w:hAnsi="仿宋" w:eastAsia="仿宋" w:cs="仿宋"/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drawing>
        <wp:inline distT="0" distB="0" distL="0" distR="0">
          <wp:extent cx="493395" cy="476250"/>
          <wp:effectExtent l="0" t="0" r="1905" b="0"/>
          <wp:docPr id="31" name="图片 31" descr="院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31" descr="院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339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仿宋_GB2312" w:eastAsia="仿宋_GB2312"/>
        <w:color w:val="FF0000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961A4D"/>
    <w:multiLevelType w:val="singleLevel"/>
    <w:tmpl w:val="DA961A4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32D09"/>
    <w:rsid w:val="1BA63B76"/>
    <w:rsid w:val="2F912CD6"/>
    <w:rsid w:val="35CD43C9"/>
    <w:rsid w:val="61332D09"/>
    <w:rsid w:val="6E41204F"/>
    <w:rsid w:val="7E7A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2"/>
    <w:next w:val="1"/>
    <w:qFormat/>
    <w:uiPriority w:val="0"/>
    <w:pPr>
      <w:spacing w:line="413" w:lineRule="auto"/>
      <w:jc w:val="center"/>
      <w:outlineLvl w:val="2"/>
    </w:pPr>
    <w:rPr>
      <w:rFonts w:ascii="Times New Roman" w:hAnsi="Times New Roman" w:eastAsia="宋体" w:cs="Times New Roman"/>
      <w:bCs w:val="0"/>
      <w:kern w:val="0"/>
      <w:sz w:val="24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eastAsia="楷体_GB2312" w:cs="Courier New"/>
      <w:bCs/>
      <w:sz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2021-08-20T12:13:00Z</dcterms:created>
  <dc:creator>马超亚</dc:creator>
  <cp:lastModifiedBy>马超亚</cp:lastModifiedBy>
  <dcterms:modified xsi:type="dcterms:W3CDTF">2021-08-27T09:27:31Z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6B3E5309A9D0442E996455EF6DCF42AA</vt:lpwstr>
  </property>
</Properties>
</file>