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AE21D">
      <w:pPr>
        <w:spacing w:line="276" w:lineRule="auto"/>
        <w:ind w:left="-141" w:leftChars="-67"/>
        <w:jc w:val="center"/>
        <w:rPr>
          <w:rFonts w:hint="default" w:ascii="Times New Roman" w:hAnsi="Times New Roman" w:eastAsia="宋体" w:cs="Times New Roman"/>
          <w:b/>
          <w:color w:val="000000" w:themeColor="text1"/>
          <w:kern w:val="0"/>
          <w:sz w:val="24"/>
          <w:szCs w:val="24"/>
          <w:lang w:val="en-US" w:eastAsia="zh-CN"/>
          <w14:textFill>
            <w14:solidFill>
              <w14:schemeClr w14:val="tx1"/>
            </w14:solidFill>
          </w14:textFill>
        </w:rPr>
      </w:pP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噪声与振动传感器配套设备</w:t>
      </w:r>
      <w:r>
        <w:rPr>
          <w:rFonts w:ascii="Times New Roman" w:hAnsi="Times New Roman" w:eastAsia="宋体" w:cs="Times New Roman"/>
          <w:b/>
          <w:color w:val="000000" w:themeColor="text1"/>
          <w:kern w:val="0"/>
          <w:sz w:val="24"/>
          <w:szCs w:val="24"/>
          <w14:textFill>
            <w14:solidFill>
              <w14:schemeClr w14:val="tx1"/>
            </w14:solidFill>
          </w14:textFill>
        </w:rPr>
        <w:t xml:space="preserve"> </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1批 限价18万元</w:t>
      </w:r>
    </w:p>
    <w:p w14:paraId="06E64F12">
      <w:pPr>
        <w:numPr>
          <w:ilvl w:val="0"/>
          <w:numId w:val="0"/>
        </w:numPr>
        <w:spacing w:line="276" w:lineRule="auto"/>
        <w:ind w:left="-141" w:leftChars="-67"/>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一、</w:t>
      </w:r>
      <w: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t xml:space="preserve">基本要求  </w:t>
      </w:r>
    </w:p>
    <w:p w14:paraId="4D2DB087">
      <w:pPr>
        <w:numPr>
          <w:ilvl w:val="0"/>
          <w:numId w:val="0"/>
        </w:numPr>
        <w:spacing w:line="276" w:lineRule="auto"/>
        <w:jc w:val="left"/>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1、</w:t>
      </w:r>
      <w:r>
        <w:rPr>
          <w:rFonts w:hint="eastAsia" w:ascii="Times New Roman" w:hAnsi="Times New Roman" w:eastAsia="宋体" w:cs="Times New Roman"/>
          <w:color w:val="000000" w:themeColor="text1"/>
          <w:szCs w:val="21"/>
          <w:lang w:val="en-US" w:eastAsia="zh-CN"/>
          <w14:textFill>
            <w14:solidFill>
              <w14:schemeClr w14:val="tx1"/>
            </w14:solidFill>
          </w14:textFill>
        </w:rPr>
        <w:t xml:space="preserve">名称：噪声与振动传感器配套设备 </w:t>
      </w:r>
    </w:p>
    <w:p w14:paraId="13F16E62">
      <w:pPr>
        <w:numPr>
          <w:ilvl w:val="0"/>
          <w:numId w:val="0"/>
        </w:numPr>
        <w:spacing w:line="276" w:lineRule="auto"/>
        <w:jc w:val="left"/>
        <w:rPr>
          <w:rFonts w:hint="default" w:ascii="Times New Roman" w:hAnsi="Times New Roman" w:eastAsia="宋体" w:cs="Times New Roman"/>
          <w:color w:val="000000" w:themeColor="text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数量：1批</w:t>
      </w:r>
    </w:p>
    <w:p w14:paraId="54BAFB33">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配套设备包括但不限于：（1）多指向电容传声器1台，（2）高声压级传声器1台，</w:t>
      </w:r>
    </w:p>
    <w:p w14:paraId="09CABBF5">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（3）超声传声器1台 ，（4）仿生传声器2台，（5）仿生发声器1台,</w:t>
      </w:r>
    </w:p>
    <w:p w14:paraId="115D049A">
      <w:pPr>
        <w:spacing w:line="276" w:lineRule="auto"/>
        <w:ind w:left="-141" w:leftChars="-67"/>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二、主要技术要求（达到或优于）</w:t>
      </w:r>
    </w:p>
    <w:p w14:paraId="3930A3CD">
      <w:pPr>
        <w:numPr>
          <w:ilvl w:val="0"/>
          <w:numId w:val="0"/>
        </w:numPr>
        <w:spacing w:line="276" w:lineRule="auto"/>
        <w:jc w:val="left"/>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1、多指向电容传声器：</w:t>
      </w:r>
    </w:p>
    <w:p w14:paraId="6CAA3907">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▲提供9种不同的指向性，每种应用都有较好的设置，峰值保持LED能够显示甚至是较短暂的过载峰值电平。</w:t>
      </w:r>
    </w:p>
    <w:p w14:paraId="3C024E14">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2带音频峰值保持的过载警示，检测到短暂的音频峰值。</w:t>
      </w:r>
    </w:p>
    <w:p w14:paraId="1047AA14">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1.3</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▲R轴精密旋转滑台，行程粗调360°，负载49N(5kgf)，偏心量0.05mm</w:t>
      </w:r>
    </w:p>
    <w:p w14:paraId="5E38FCC6">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1.4</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音频频响范围：20-20000Hz</w:t>
      </w:r>
    </w:p>
    <w:p w14:paraId="53FAA132">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前置衰减器：-6、-12、-18dB</w:t>
      </w:r>
    </w:p>
    <w:p w14:paraId="08FEDD16">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等效声噪级：6dB-A</w:t>
      </w:r>
    </w:p>
    <w:p w14:paraId="585178DD">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1.7</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灵敏度：23 mV/Pa</w:t>
      </w:r>
    </w:p>
    <w:p w14:paraId="3603DB40">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1.8</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低切滤波器:160、80、40Hz</w:t>
      </w:r>
    </w:p>
    <w:p w14:paraId="071FC7A5">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1.9</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▲电源适配器，单通道48VDC幻象电源输出，内置无噪声100kHz开关式电源模块，输出稳定、干净，确保</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传声器</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拾音表现不受干扰。</w:t>
      </w:r>
    </w:p>
    <w:p w14:paraId="2EAA2EF1">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1.10</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▲三种衰减幅度(-6、-12、-18dB)，适用于近距离拾音或高达158dBSPL的高强度声源。</w:t>
      </w:r>
    </w:p>
    <w:p w14:paraId="667233EB">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1.11</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三种可选的低切滤波器，降低风噪，次低频噪音或近讲效应的影响。</w:t>
      </w:r>
    </w:p>
    <w:p w14:paraId="4FFFAD37">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p>
    <w:p w14:paraId="13A6A8FE">
      <w:pPr>
        <w:numPr>
          <w:ilvl w:val="0"/>
          <w:numId w:val="0"/>
        </w:numPr>
        <w:spacing w:line="276" w:lineRule="auto"/>
        <w:jc w:val="left"/>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2、高声压级传声器：</w:t>
      </w:r>
    </w:p>
    <w:p w14:paraId="611E46B6">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2.1产品类型：1/4 英寸 CCP 压力式标准传声器套件（高压型），符合 IEC 61094 WS3P 标准</w:t>
      </w:r>
    </w:p>
    <w:p w14:paraId="475CDC83">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2.2▲频率响应：3.15 Hz～70 kHz（±2 dB）</w:t>
      </w:r>
    </w:p>
    <w:p w14:paraId="1B52BA00">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2.3▲动态范围：60 dB(A)～184 dB</w:t>
      </w:r>
    </w:p>
    <w:p w14:paraId="2A9A08C4">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2.4灵敏度：0.25 mV/Pa（@250 Hz，±2 dB）</w:t>
      </w:r>
    </w:p>
    <w:p w14:paraId="5A9FF02B">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2.5电气与接口：CCP 恒流供电 2–20 mA/24 V 空载；10/32 Microdot 母头连接器；支持 IEEE 1451.4 TEDS v1.0</w:t>
      </w:r>
    </w:p>
    <w:p w14:paraId="42C58CD1">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p>
    <w:p w14:paraId="099190CB">
      <w:pPr>
        <w:numPr>
          <w:ilvl w:val="0"/>
          <w:numId w:val="0"/>
        </w:numPr>
        <w:spacing w:line="276" w:lineRule="auto"/>
        <w:jc w:val="left"/>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3、超声传声器</w:t>
      </w:r>
    </w:p>
    <w:p w14:paraId="61DAC339">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3.1产品类型：1/2 英寸电容式自由场测量传声器，满足 IEC 61094 - 4 WS2F 标准要求</w:t>
      </w:r>
    </w:p>
    <w:p w14:paraId="62421055">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3.2▲频率范围：10 Hz～40 kHz</w:t>
      </w:r>
    </w:p>
    <w:p w14:paraId="5151A8D3">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3.3▲动态范围：本底噪声 22 dB (A)，最大峰值声压级 161 dB</w:t>
      </w:r>
    </w:p>
    <w:p w14:paraId="50783D24">
      <w:pPr>
        <w:numPr>
          <w:ilvl w:val="0"/>
          <w:numId w:val="0"/>
        </w:numPr>
        <w:spacing w:line="276" w:lineRule="auto"/>
        <w:jc w:val="left"/>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3.4灵敏度：开路灵敏度 12.5 mV/Pa（@1 kHz），误差≤±1.5 dB</w:t>
      </w:r>
    </w:p>
    <w:p w14:paraId="379908D8">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p>
    <w:p w14:paraId="436AE806">
      <w:pPr>
        <w:numPr>
          <w:ilvl w:val="0"/>
          <w:numId w:val="0"/>
        </w:numPr>
        <w:spacing w:line="276" w:lineRule="auto"/>
        <w:jc w:val="left"/>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4、仿生传声器</w:t>
      </w:r>
    </w:p>
    <w:p w14:paraId="739939EE">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4.1</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 频率响应： 频响范围需至少覆盖 20Hz – 16kHz。其中 20Hz – 8kHz 频段平坦度需控制在 ±0.5dB 以内；8kHz – 16kHz 频段平坦度需控制在 ±1dB 以内。</w:t>
      </w:r>
    </w:p>
    <w:p w14:paraId="5325F250">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4.2</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▲本底噪声： 固有噪声电平（底噪） ≤ 16 dBA。</w:t>
      </w:r>
    </w:p>
    <w:p w14:paraId="0CF9E609">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4.3</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▲动态范围： 线性测试范围需覆盖 16 dBA 至 135 dBA（测量上限不低于 135 dBA）。</w:t>
      </w:r>
    </w:p>
    <w:p w14:paraId="53706614">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4.4</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灵敏度： 标称灵敏度不低于 50mV/Pa（容差范围 -26.0dB ± 2dB re 1V/Pa）。</w:t>
      </w:r>
    </w:p>
    <w:p w14:paraId="4EC13C83">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4.5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供电与接口： 支持 IEPE 恒流源供电标准，典型工作电流 4mA。</w:t>
      </w: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传声器</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需能够与主流专业声学数据采集前端模块直接连接使用</w:t>
      </w:r>
    </w:p>
    <w:p w14:paraId="79FF3A79">
      <w:pPr>
        <w:numPr>
          <w:ilvl w:val="0"/>
          <w:numId w:val="0"/>
        </w:numPr>
        <w:spacing w:line="276" w:lineRule="auto"/>
        <w:jc w:val="left"/>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p>
    <w:p w14:paraId="7219B884">
      <w:pPr>
        <w:numPr>
          <w:ilvl w:val="0"/>
          <w:numId w:val="0"/>
        </w:numPr>
        <w:spacing w:line="276" w:lineRule="auto"/>
        <w:jc w:val="left"/>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5、仿生发声器</w:t>
      </w:r>
    </w:p>
    <w:p w14:paraId="66E4AF17">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5.1</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测试频率范围： 有效声学输出频率范围至少覆盖 100Hz – 10kHz。</w:t>
      </w:r>
    </w:p>
    <w:p w14:paraId="2C723814">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5.2</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 频率响应（均衡后）： 均衡后的声场频响特性必须满足 ETSI TS 102 924 国际标准要求。</w:t>
      </w:r>
    </w:p>
    <w:p w14:paraId="1C38467F">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5.3</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▲谐波失真： 宽频带内的声学谐波失真指标需优于或满足 ITU-T P.58 标准要求。</w:t>
      </w:r>
    </w:p>
    <w:p w14:paraId="7EF6C14E">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5.4</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最大处理功率： 连续/最大输入功率 ≥ 10W。</w:t>
      </w:r>
    </w:p>
    <w:p w14:paraId="5C50548D">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5.5</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标称阻抗： 4 Ω（欧姆）。</w:t>
      </w:r>
    </w:p>
    <w:p w14:paraId="12F10AA9">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5.6</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工作与环境适应性 (Environmental Specifications)</w:t>
      </w:r>
    </w:p>
    <w:p w14:paraId="25C1696B">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5.7</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使用环境： 支持在温度 0°C – 50°C (32°F – 122°F)，相对湿度 20% – 80%（无冷凝）的环境下稳定测试。</w:t>
      </w:r>
    </w:p>
    <w:p w14:paraId="6DC1B50A">
      <w:pPr>
        <w:numPr>
          <w:ilvl w:val="0"/>
          <w:numId w:val="0"/>
        </w:numPr>
        <w:spacing w:line="276" w:lineRule="auto"/>
        <w:jc w:val="left"/>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Cs w:val="21"/>
          <w:highlight w:val="none"/>
          <w:lang w:val="en-US" w:eastAsia="zh-CN"/>
          <w14:textFill>
            <w14:solidFill>
              <w14:schemeClr w14:val="tx1"/>
            </w14:solidFill>
          </w14:textFill>
        </w:rPr>
        <w:t>5.8</w:t>
      </w:r>
      <w: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t>存储环境： 支持在温度 -20°C – 70°C (-4°F – 158°F) 环境下安全存储</w:t>
      </w:r>
    </w:p>
    <w:p w14:paraId="46E29A2C">
      <w:pPr>
        <w:numPr>
          <w:ilvl w:val="0"/>
          <w:numId w:val="0"/>
        </w:numPr>
        <w:spacing w:line="276" w:lineRule="auto"/>
        <w:ind w:left="-141" w:leftChars="-67" w:firstLine="0" w:firstLineChars="0"/>
        <w:jc w:val="left"/>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三、</w:t>
      </w: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商务要求</w:t>
      </w:r>
    </w:p>
    <w:p w14:paraId="7D4471AE">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1、中标人必须按项目进度安排计划，派出适当的技术人员到安装现场负责免费安装和调试工作。在安装施工期间，严格遵守用户方的有关规定。</w:t>
      </w:r>
    </w:p>
    <w:p w14:paraId="4871B6A7">
      <w:p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2、安装验收期间，在招标人所在地对招标人进行仪器操作、日常维护、所有检测指标的现场培训，2年内须提供不少于每年1次的上门免费培训服务。培训所需全部费用均已包含在投标报价中。</w:t>
      </w:r>
    </w:p>
    <w:p w14:paraId="305CBD9B">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3、中标人应将关键主机设备的用户手册、保修手册、有关单证资料及配备件、随机工具等交付给采购人，使用操作及安全须知等重要资料应附有中文说明。</w:t>
      </w:r>
    </w:p>
    <w:p w14:paraId="072C58C2">
      <w:pPr>
        <w:numPr>
          <w:ilvl w:val="0"/>
          <w:numId w:val="0"/>
        </w:numPr>
        <w:tabs>
          <w:tab w:val="left" w:pos="0"/>
          <w:tab w:val="left" w:pos="420"/>
        </w:tabs>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4、招标人按照采购合同规定的技术、服务、安全标准组织对中标人履约情况进行验收，并出具验收书。验收书应当包括每一项技术、服务、安全标准的履约情况。</w:t>
      </w:r>
    </w:p>
    <w:p w14:paraId="325C0BE8">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5、交付验收标准依次序对照适用标准为：①符合中华人民共和国“国家安全质量标准、环保标准或行业标准；”②符合招标文件和响应承诺中招标人认可的合理最佳配置、参数及各项要求；③货物来源国官方标准。货物为原厂商未启封全新包装，具出厂合格证，序列号、包装箱号与出厂批号一致，并可追溯查阅。所有随设备的附件必须齐全。</w:t>
      </w:r>
    </w:p>
    <w:p w14:paraId="36E6AF2F">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6、中标人将货物的用户手册、保修手册、有关单证资料及备品备件、随机工具等交付给招标人，使用操作及安全须知等重要资料应附有中文说明。货物验收所发生的检验费用由中标人负担。</w:t>
      </w:r>
      <w:bookmarkStart w:id="0" w:name="_GoBack"/>
      <w:bookmarkEnd w:id="0"/>
    </w:p>
    <w:p w14:paraId="18890865">
      <w:pPr>
        <w:numPr>
          <w:ilvl w:val="0"/>
          <w:numId w:val="0"/>
        </w:num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8、中标人负责设备的供货、安装调试、验收，经招标人验收合格方可。质量保证期不少于1 年，自招标人和中标人代表在货物安装调试验收后的验收书上签字之日起计算。“技术要求”中另有要求的，以其中的要求为准。维保服务可由设备制造商或其授权服务商提供，授权文件须包含制造商公章、授权项目编号、有效期及官方联系人，确保授权链完整可溯。质保期后设备维修配件更换只收取成本费用。须提供由原设备生产厂家授权的总代理或者原设备生产厂家针对本项目出具的售后服务承诺书。</w:t>
      </w:r>
    </w:p>
    <w:p w14:paraId="769FEC37">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t>9、对招标人的服务通知，中标人在接报后 24 小时内响应， 48 小时内到达现场， 72 小时内处理完毕。若在 72 小时内仍未能有效解决，则自取走故障件之日起，3个工作日内提供备品以保证业务正常开展，若无法按时修复或如期提供备品造成停机，则按1:2延长保修期(即停机1天，延长保修期2天，如停用时间累计超过60天则保修期重新计算。)，若完全不能修复则由中标人免费更换同款整机。</w:t>
      </w:r>
    </w:p>
    <w:p w14:paraId="3DE7FC6C">
      <w:pPr>
        <w:spacing w:line="360" w:lineRule="auto"/>
        <w:rPr>
          <w:rFonts w:hint="eastAsia" w:ascii="Times New Roman" w:hAnsi="Times New Roman" w:eastAsia="宋体" w:cs="Times New Roman"/>
          <w:bCs/>
          <w:color w:val="000000" w:themeColor="text1"/>
          <w:kern w:val="0"/>
          <w:sz w:val="21"/>
          <w:szCs w:val="21"/>
          <w:lang w:val="en-US" w:eastAsia="zh-CN" w:bidi="ar-SA"/>
          <w14:textFill>
            <w14:solidFill>
              <w14:schemeClr w14:val="tx1"/>
            </w14:solidFill>
          </w14:textFill>
        </w:rPr>
      </w:pPr>
    </w:p>
    <w:p w14:paraId="2BF8D990">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7C6D35CB">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73FBF9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D7A4A9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64B9C626">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47CE106">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6E7A4368">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FB93EFB">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C38CFE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5D8E7F39">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46FBBD44">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0687E627">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3EDE4195">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1AE043F8">
      <w:pPr>
        <w:spacing w:line="276" w:lineRule="auto"/>
        <w:ind w:left="-141" w:leftChars="-67"/>
        <w:jc w:val="center"/>
        <w:rPr>
          <w:rFonts w:hint="eastAsia" w:ascii="Times New Roman" w:hAnsi="Times New Roman" w:eastAsia="宋体" w:cs="Times New Roman"/>
          <w:b/>
          <w:color w:val="000000" w:themeColor="text1"/>
          <w:kern w:val="0"/>
          <w:sz w:val="24"/>
          <w:szCs w:val="24"/>
          <w:lang w:val="en-US" w:eastAsia="zh-CN"/>
          <w14:textFill>
            <w14:solidFill>
              <w14:schemeClr w14:val="tx1"/>
            </w14:solidFill>
          </w14:textFill>
        </w:rPr>
      </w:pPr>
    </w:p>
    <w:p w14:paraId="0BC39782">
      <w:pPr>
        <w:rPr>
          <w:rFonts w:hint="default" w:ascii="宋体" w:hAnsi="宋体" w:eastAsia="宋体" w:cs="宋体"/>
          <w:i w:val="0"/>
          <w:color w:val="000000"/>
          <w:kern w:val="0"/>
          <w:sz w:val="21"/>
          <w:szCs w:val="21"/>
          <w:highlight w:val="none"/>
          <w:u w:val="none"/>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C76"/>
    <w:rsid w:val="000013B3"/>
    <w:rsid w:val="00004425"/>
    <w:rsid w:val="000156B4"/>
    <w:rsid w:val="00020478"/>
    <w:rsid w:val="000214E4"/>
    <w:rsid w:val="0004574A"/>
    <w:rsid w:val="00051F24"/>
    <w:rsid w:val="00054CF9"/>
    <w:rsid w:val="00081250"/>
    <w:rsid w:val="000A3F88"/>
    <w:rsid w:val="000B5F70"/>
    <w:rsid w:val="000B7574"/>
    <w:rsid w:val="000C2093"/>
    <w:rsid w:val="000E295A"/>
    <w:rsid w:val="000E3842"/>
    <w:rsid w:val="000F2121"/>
    <w:rsid w:val="000F793C"/>
    <w:rsid w:val="00100234"/>
    <w:rsid w:val="00107683"/>
    <w:rsid w:val="001216CD"/>
    <w:rsid w:val="00126162"/>
    <w:rsid w:val="001366A5"/>
    <w:rsid w:val="00136AF7"/>
    <w:rsid w:val="00142A18"/>
    <w:rsid w:val="0014407F"/>
    <w:rsid w:val="00176A03"/>
    <w:rsid w:val="0018453A"/>
    <w:rsid w:val="0018488F"/>
    <w:rsid w:val="001A034F"/>
    <w:rsid w:val="001C4EA4"/>
    <w:rsid w:val="001D08FE"/>
    <w:rsid w:val="001D5A73"/>
    <w:rsid w:val="001D6057"/>
    <w:rsid w:val="001F344F"/>
    <w:rsid w:val="001F3C73"/>
    <w:rsid w:val="001F3F88"/>
    <w:rsid w:val="001F6F6C"/>
    <w:rsid w:val="00207680"/>
    <w:rsid w:val="0021252E"/>
    <w:rsid w:val="00232752"/>
    <w:rsid w:val="0023488E"/>
    <w:rsid w:val="00236B53"/>
    <w:rsid w:val="00237C14"/>
    <w:rsid w:val="00244FE1"/>
    <w:rsid w:val="0025060F"/>
    <w:rsid w:val="00251F27"/>
    <w:rsid w:val="002646AA"/>
    <w:rsid w:val="00274644"/>
    <w:rsid w:val="002757C5"/>
    <w:rsid w:val="00276757"/>
    <w:rsid w:val="0028498F"/>
    <w:rsid w:val="0029604A"/>
    <w:rsid w:val="002A7719"/>
    <w:rsid w:val="002B6096"/>
    <w:rsid w:val="002C5223"/>
    <w:rsid w:val="002E08C8"/>
    <w:rsid w:val="002E1324"/>
    <w:rsid w:val="002E3FFF"/>
    <w:rsid w:val="002F71A2"/>
    <w:rsid w:val="002F74A6"/>
    <w:rsid w:val="003007ED"/>
    <w:rsid w:val="00312453"/>
    <w:rsid w:val="003146AE"/>
    <w:rsid w:val="003301D5"/>
    <w:rsid w:val="003328EA"/>
    <w:rsid w:val="00337BF2"/>
    <w:rsid w:val="003548B2"/>
    <w:rsid w:val="0035719F"/>
    <w:rsid w:val="00366108"/>
    <w:rsid w:val="0037270A"/>
    <w:rsid w:val="00374DFB"/>
    <w:rsid w:val="00385A1B"/>
    <w:rsid w:val="003955FF"/>
    <w:rsid w:val="003A3A27"/>
    <w:rsid w:val="003A56E1"/>
    <w:rsid w:val="003C248D"/>
    <w:rsid w:val="003E183D"/>
    <w:rsid w:val="003E67F3"/>
    <w:rsid w:val="003F29D2"/>
    <w:rsid w:val="003F4FCD"/>
    <w:rsid w:val="00416356"/>
    <w:rsid w:val="00423804"/>
    <w:rsid w:val="00425254"/>
    <w:rsid w:val="00425989"/>
    <w:rsid w:val="00427A35"/>
    <w:rsid w:val="00435B67"/>
    <w:rsid w:val="004404F3"/>
    <w:rsid w:val="00443B9C"/>
    <w:rsid w:val="00450999"/>
    <w:rsid w:val="0045454C"/>
    <w:rsid w:val="00476864"/>
    <w:rsid w:val="00486BDF"/>
    <w:rsid w:val="004C0DB0"/>
    <w:rsid w:val="004D77B5"/>
    <w:rsid w:val="004F6FAC"/>
    <w:rsid w:val="00502C19"/>
    <w:rsid w:val="00516389"/>
    <w:rsid w:val="00520F19"/>
    <w:rsid w:val="00536404"/>
    <w:rsid w:val="005655EB"/>
    <w:rsid w:val="00574697"/>
    <w:rsid w:val="00582878"/>
    <w:rsid w:val="0058713F"/>
    <w:rsid w:val="005D0447"/>
    <w:rsid w:val="005D0D12"/>
    <w:rsid w:val="005D4D36"/>
    <w:rsid w:val="005D7236"/>
    <w:rsid w:val="005D7CAC"/>
    <w:rsid w:val="005E49C2"/>
    <w:rsid w:val="006078C6"/>
    <w:rsid w:val="00627384"/>
    <w:rsid w:val="0062761A"/>
    <w:rsid w:val="00627FA8"/>
    <w:rsid w:val="0065606C"/>
    <w:rsid w:val="00661222"/>
    <w:rsid w:val="00661CFB"/>
    <w:rsid w:val="006620A1"/>
    <w:rsid w:val="00680AD4"/>
    <w:rsid w:val="00685D4C"/>
    <w:rsid w:val="006918CF"/>
    <w:rsid w:val="006A2665"/>
    <w:rsid w:val="006B6AE4"/>
    <w:rsid w:val="006C63B9"/>
    <w:rsid w:val="006E6AB5"/>
    <w:rsid w:val="006F4CC7"/>
    <w:rsid w:val="00707B26"/>
    <w:rsid w:val="00727861"/>
    <w:rsid w:val="00732759"/>
    <w:rsid w:val="007331D2"/>
    <w:rsid w:val="00737192"/>
    <w:rsid w:val="00740E1A"/>
    <w:rsid w:val="0075298D"/>
    <w:rsid w:val="00781287"/>
    <w:rsid w:val="00790C8C"/>
    <w:rsid w:val="00795A4E"/>
    <w:rsid w:val="007B47B7"/>
    <w:rsid w:val="007C002E"/>
    <w:rsid w:val="007C4A19"/>
    <w:rsid w:val="007C7182"/>
    <w:rsid w:val="007E51C6"/>
    <w:rsid w:val="0080286E"/>
    <w:rsid w:val="008173C7"/>
    <w:rsid w:val="00821C95"/>
    <w:rsid w:val="00834148"/>
    <w:rsid w:val="00846189"/>
    <w:rsid w:val="00847D52"/>
    <w:rsid w:val="0086227F"/>
    <w:rsid w:val="00867DF5"/>
    <w:rsid w:val="00870932"/>
    <w:rsid w:val="00875540"/>
    <w:rsid w:val="00884E7A"/>
    <w:rsid w:val="00890C37"/>
    <w:rsid w:val="00894DEA"/>
    <w:rsid w:val="008A21E8"/>
    <w:rsid w:val="008A7B23"/>
    <w:rsid w:val="008B0723"/>
    <w:rsid w:val="008B1EBD"/>
    <w:rsid w:val="008B7C2C"/>
    <w:rsid w:val="008C7306"/>
    <w:rsid w:val="008D3018"/>
    <w:rsid w:val="008E5615"/>
    <w:rsid w:val="008E63EC"/>
    <w:rsid w:val="008E6FF2"/>
    <w:rsid w:val="008F36A6"/>
    <w:rsid w:val="008F3E78"/>
    <w:rsid w:val="00907E0F"/>
    <w:rsid w:val="009216EB"/>
    <w:rsid w:val="00921F27"/>
    <w:rsid w:val="009263FD"/>
    <w:rsid w:val="0094246B"/>
    <w:rsid w:val="0094769D"/>
    <w:rsid w:val="00955935"/>
    <w:rsid w:val="009566C1"/>
    <w:rsid w:val="00957B58"/>
    <w:rsid w:val="00960782"/>
    <w:rsid w:val="00963D27"/>
    <w:rsid w:val="00981C96"/>
    <w:rsid w:val="00994CE6"/>
    <w:rsid w:val="009A6EBB"/>
    <w:rsid w:val="009B54C3"/>
    <w:rsid w:val="009B7133"/>
    <w:rsid w:val="009B787E"/>
    <w:rsid w:val="009C36D2"/>
    <w:rsid w:val="009D03EB"/>
    <w:rsid w:val="009D250F"/>
    <w:rsid w:val="009D5B6B"/>
    <w:rsid w:val="009E055B"/>
    <w:rsid w:val="009E71C8"/>
    <w:rsid w:val="009F2D58"/>
    <w:rsid w:val="009F4392"/>
    <w:rsid w:val="00A041D1"/>
    <w:rsid w:val="00A11988"/>
    <w:rsid w:val="00A273C6"/>
    <w:rsid w:val="00A325AB"/>
    <w:rsid w:val="00A46032"/>
    <w:rsid w:val="00A46238"/>
    <w:rsid w:val="00A52C76"/>
    <w:rsid w:val="00A61A89"/>
    <w:rsid w:val="00A625FF"/>
    <w:rsid w:val="00A808D9"/>
    <w:rsid w:val="00A84B72"/>
    <w:rsid w:val="00A8640F"/>
    <w:rsid w:val="00A915AC"/>
    <w:rsid w:val="00AA33E9"/>
    <w:rsid w:val="00AD0D9D"/>
    <w:rsid w:val="00AD1975"/>
    <w:rsid w:val="00AD2B0A"/>
    <w:rsid w:val="00AD7478"/>
    <w:rsid w:val="00AF066B"/>
    <w:rsid w:val="00AF1803"/>
    <w:rsid w:val="00AF5327"/>
    <w:rsid w:val="00AF5F9F"/>
    <w:rsid w:val="00B05533"/>
    <w:rsid w:val="00B24EF3"/>
    <w:rsid w:val="00B336BD"/>
    <w:rsid w:val="00B5031B"/>
    <w:rsid w:val="00B50DAB"/>
    <w:rsid w:val="00B57B28"/>
    <w:rsid w:val="00B60365"/>
    <w:rsid w:val="00B76E47"/>
    <w:rsid w:val="00B82B42"/>
    <w:rsid w:val="00B8347A"/>
    <w:rsid w:val="00B90E07"/>
    <w:rsid w:val="00BA7785"/>
    <w:rsid w:val="00BB1540"/>
    <w:rsid w:val="00BC715F"/>
    <w:rsid w:val="00BE5D20"/>
    <w:rsid w:val="00BE723E"/>
    <w:rsid w:val="00BF04CB"/>
    <w:rsid w:val="00BF19BC"/>
    <w:rsid w:val="00C0148D"/>
    <w:rsid w:val="00C01650"/>
    <w:rsid w:val="00C02DD7"/>
    <w:rsid w:val="00C04AD8"/>
    <w:rsid w:val="00C07BCC"/>
    <w:rsid w:val="00C179AB"/>
    <w:rsid w:val="00C34EAD"/>
    <w:rsid w:val="00C402D4"/>
    <w:rsid w:val="00C438CE"/>
    <w:rsid w:val="00C4599B"/>
    <w:rsid w:val="00C5324D"/>
    <w:rsid w:val="00C677FE"/>
    <w:rsid w:val="00C7071E"/>
    <w:rsid w:val="00C72056"/>
    <w:rsid w:val="00C86088"/>
    <w:rsid w:val="00C9169B"/>
    <w:rsid w:val="00CA280D"/>
    <w:rsid w:val="00CA2DF1"/>
    <w:rsid w:val="00CB67EB"/>
    <w:rsid w:val="00CD49AF"/>
    <w:rsid w:val="00CF24AA"/>
    <w:rsid w:val="00CF7BB0"/>
    <w:rsid w:val="00D04D52"/>
    <w:rsid w:val="00D15F66"/>
    <w:rsid w:val="00D24F07"/>
    <w:rsid w:val="00D24F30"/>
    <w:rsid w:val="00D32441"/>
    <w:rsid w:val="00D36C17"/>
    <w:rsid w:val="00D405FB"/>
    <w:rsid w:val="00D533AC"/>
    <w:rsid w:val="00D70C72"/>
    <w:rsid w:val="00D74088"/>
    <w:rsid w:val="00D757CB"/>
    <w:rsid w:val="00D76231"/>
    <w:rsid w:val="00D810F9"/>
    <w:rsid w:val="00D8191C"/>
    <w:rsid w:val="00D906F5"/>
    <w:rsid w:val="00D9250A"/>
    <w:rsid w:val="00DA58C2"/>
    <w:rsid w:val="00DB4E07"/>
    <w:rsid w:val="00DC16AF"/>
    <w:rsid w:val="00DD61FF"/>
    <w:rsid w:val="00DD7819"/>
    <w:rsid w:val="00DF1D66"/>
    <w:rsid w:val="00DF47B2"/>
    <w:rsid w:val="00E00133"/>
    <w:rsid w:val="00E00522"/>
    <w:rsid w:val="00E13A16"/>
    <w:rsid w:val="00E32C8E"/>
    <w:rsid w:val="00E402C8"/>
    <w:rsid w:val="00E53740"/>
    <w:rsid w:val="00E62300"/>
    <w:rsid w:val="00E719B0"/>
    <w:rsid w:val="00E80960"/>
    <w:rsid w:val="00E82D0F"/>
    <w:rsid w:val="00E831A9"/>
    <w:rsid w:val="00E93D32"/>
    <w:rsid w:val="00EA5EA0"/>
    <w:rsid w:val="00EB4781"/>
    <w:rsid w:val="00EC7D3F"/>
    <w:rsid w:val="00ED5C15"/>
    <w:rsid w:val="00EE5338"/>
    <w:rsid w:val="00EF3368"/>
    <w:rsid w:val="00F01D12"/>
    <w:rsid w:val="00F11C6A"/>
    <w:rsid w:val="00F2078C"/>
    <w:rsid w:val="00F2455D"/>
    <w:rsid w:val="00F26165"/>
    <w:rsid w:val="00F8306E"/>
    <w:rsid w:val="00F8413C"/>
    <w:rsid w:val="00FA6659"/>
    <w:rsid w:val="00FD5457"/>
    <w:rsid w:val="00FE7DDD"/>
    <w:rsid w:val="00FF6943"/>
    <w:rsid w:val="018A4523"/>
    <w:rsid w:val="02B74AE0"/>
    <w:rsid w:val="07F35D01"/>
    <w:rsid w:val="08913DD7"/>
    <w:rsid w:val="0E7C1C73"/>
    <w:rsid w:val="11D90DF0"/>
    <w:rsid w:val="19EC18F2"/>
    <w:rsid w:val="1F7E65C1"/>
    <w:rsid w:val="21D44C6C"/>
    <w:rsid w:val="28DC5109"/>
    <w:rsid w:val="2B30708A"/>
    <w:rsid w:val="31976EA7"/>
    <w:rsid w:val="32602E48"/>
    <w:rsid w:val="32863A70"/>
    <w:rsid w:val="372A1857"/>
    <w:rsid w:val="556B6156"/>
    <w:rsid w:val="5C501E2C"/>
    <w:rsid w:val="5DAF1AA8"/>
    <w:rsid w:val="672600C8"/>
    <w:rsid w:val="67C31B58"/>
    <w:rsid w:val="6A4C4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unhideWhenUsed/>
    <w:qFormat/>
    <w:uiPriority w:val="9"/>
    <w:pPr>
      <w:keepLines/>
      <w:spacing w:line="360" w:lineRule="auto"/>
      <w:outlineLvl w:val="3"/>
    </w:pPr>
    <w:rPr>
      <w:rFonts w:eastAsia="Times New Roman" w:asciiTheme="majorHAnsi" w:hAnsiTheme="majorHAnsi" w:cstheme="majorBidi"/>
      <w:bCs/>
      <w:sz w:val="24"/>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next w:val="1"/>
    <w:qFormat/>
    <w:uiPriority w:val="0"/>
    <w:rPr>
      <w:sz w:val="24"/>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1955</Words>
  <Characters>2375</Characters>
  <Lines>13</Lines>
  <Paragraphs>3</Paragraphs>
  <TotalTime>7</TotalTime>
  <ScaleCrop>false</ScaleCrop>
  <LinksUpToDate>false</LinksUpToDate>
  <CharactersWithSpaces>2514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2024-04-17T08:11:00Z</dcterms:created>
  <dc:creator>Yu, Jiajie</dc:creator>
  <cp:lastModifiedBy>谭绍东</cp:lastModifiedBy>
  <dcterms:modified xsi:type="dcterms:W3CDTF">2026-07-03T02:27:09Z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eyJoZGlkIjoiMzk2MjIzMTc2YTQ5NDJkZmM4OWUxMTRkNTE3NzI1NjgiLCJ1c2VySWQiOiIxNzY2NDM2NzM5In0=</vt:lpwstr>
  </property>
  <property fmtid="{D5CDD505-2E9C-101B-9397-08002B2CF9AE}" pid="4" name="ICV">
    <vt:lpwstr>D5E0091A2B8B49C8B8ACB93BA692D647_13</vt:lpwstr>
  </property>
</Properties>
</file>