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AE21D">
      <w:pPr>
        <w:spacing w:line="276" w:lineRule="auto"/>
        <w:ind w:left="-141" w:leftChars="-67"/>
        <w:jc w:val="cente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包一、</w:t>
      </w:r>
      <w: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t>噪声频谱分析仪（防爆）</w:t>
      </w:r>
      <w:r>
        <w:rPr>
          <w:rFonts w:ascii="Times New Roman" w:hAnsi="Times New Roman" w:eastAsia="宋体" w:cs="Times New Roman"/>
          <w:b/>
          <w:color w:val="000000" w:themeColor="text1"/>
          <w:kern w:val="0"/>
          <w:sz w:val="24"/>
          <w:szCs w:val="24"/>
          <w14:textFill>
            <w14:solidFill>
              <w14:schemeClr w14:val="tx1"/>
            </w14:solidFill>
          </w14:textFill>
        </w:rPr>
        <w:t xml:space="preserve"> </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2台 限价4万元</w:t>
      </w:r>
    </w:p>
    <w:p w14:paraId="06E64F12">
      <w:pPr>
        <w:numPr>
          <w:ilvl w:val="0"/>
          <w:numId w:val="0"/>
        </w:numPr>
        <w:spacing w:line="276" w:lineRule="auto"/>
        <w:ind w:left="-141" w:leftChars="-67"/>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一、</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 xml:space="preserve">基本要求  </w:t>
      </w:r>
    </w:p>
    <w:p w14:paraId="4D2DB087">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名称：</w:t>
      </w:r>
      <w:r>
        <w:rPr>
          <w:rFonts w:hint="default" w:ascii="Times New Roman" w:hAnsi="Times New Roman" w:eastAsia="宋体" w:cs="Times New Roman"/>
          <w:color w:val="000000" w:themeColor="text1"/>
          <w:szCs w:val="21"/>
          <w:lang w:val="en-US" w:eastAsia="zh-CN"/>
          <w14:textFill>
            <w14:solidFill>
              <w14:schemeClr w14:val="tx1"/>
            </w14:solidFill>
          </w14:textFill>
        </w:rPr>
        <w:t>噪声频谱分析仪（防爆）</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 </w:t>
      </w:r>
    </w:p>
    <w:p w14:paraId="13F16E62">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数量：2台</w:t>
      </w:r>
    </w:p>
    <w:p w14:paraId="115D049A">
      <w:pPr>
        <w:spacing w:line="276" w:lineRule="auto"/>
        <w:ind w:left="-141" w:leftChars="-67"/>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二、主要技术要求（达到或优于）</w:t>
      </w:r>
    </w:p>
    <w:p w14:paraId="49D6A70F">
      <w:pPr>
        <w:numPr>
          <w:ilvl w:val="0"/>
          <w:numId w:val="0"/>
        </w:numPr>
        <w:ind w:leftChars="0"/>
        <w:rPr>
          <w:rFonts w:hint="default"/>
          <w:lang w:val="en-US" w:eastAsia="zh-CN"/>
        </w:rPr>
      </w:pPr>
      <w:r>
        <w:rPr>
          <w:rFonts w:hint="default"/>
          <w:lang w:val="en-US" w:eastAsia="zh-CN"/>
        </w:rPr>
        <w:t>▲</w:t>
      </w:r>
      <w:r>
        <w:rPr>
          <w:rFonts w:hint="eastAsia"/>
          <w:lang w:val="en-US" w:eastAsia="zh-CN"/>
        </w:rPr>
        <w:t>1.</w:t>
      </w:r>
      <w:r>
        <w:rPr>
          <w:rFonts w:hint="eastAsia"/>
          <w:lang w:val="en-US" w:eastAsia="zh-CN"/>
        </w:rPr>
        <w:t xml:space="preserve">设备应符合 </w:t>
      </w:r>
      <w:r>
        <w:rPr>
          <w:rFonts w:hint="default"/>
          <w:lang w:val="en-US" w:eastAsia="zh-CN"/>
        </w:rPr>
        <w:t xml:space="preserve">GB/T 3785.1—2023 </w:t>
      </w:r>
      <w:r>
        <w:rPr>
          <w:rFonts w:hint="eastAsia"/>
          <w:lang w:val="en-US" w:eastAsia="zh-CN"/>
        </w:rPr>
        <w:t>《电声学 声级计 第1部分：规范》</w:t>
      </w:r>
      <w:r>
        <w:rPr>
          <w:rFonts w:hint="default"/>
          <w:lang w:val="en-US" w:eastAsia="zh-CN"/>
        </w:rPr>
        <w:t>1级</w:t>
      </w:r>
      <w:r>
        <w:rPr>
          <w:rFonts w:hint="eastAsia"/>
          <w:lang w:val="en-US" w:eastAsia="zh-CN"/>
        </w:rPr>
        <w:t xml:space="preserve"> </w:t>
      </w:r>
      <w:r>
        <w:rPr>
          <w:rFonts w:hint="default"/>
          <w:lang w:val="en-US" w:eastAsia="zh-CN"/>
        </w:rPr>
        <w:t>GB/T 3241.1—2025 1级</w:t>
      </w:r>
      <w:r>
        <w:rPr>
          <w:rFonts w:hint="eastAsia"/>
          <w:lang w:val="en-US" w:eastAsia="zh-CN"/>
        </w:rPr>
        <w:t>《电声学 倍频程和分数倍频程滤波器 第1部分：规范》</w:t>
      </w:r>
      <w:r>
        <w:rPr>
          <w:rFonts w:hint="default"/>
          <w:lang w:val="en-US" w:eastAsia="zh-CN"/>
        </w:rPr>
        <w:t>GB/T 15952—2010</w:t>
      </w:r>
      <w:r>
        <w:rPr>
          <w:rFonts w:hint="eastAsia"/>
          <w:lang w:val="en-US" w:eastAsia="zh-CN"/>
        </w:rPr>
        <w:t>《电声学 个人声暴露计规范》</w:t>
      </w:r>
    </w:p>
    <w:p w14:paraId="6977672A">
      <w:pPr>
        <w:numPr>
          <w:ilvl w:val="0"/>
          <w:numId w:val="0"/>
        </w:numPr>
        <w:ind w:leftChars="0"/>
        <w:rPr>
          <w:rFonts w:hint="default"/>
          <w:lang w:val="en-US" w:eastAsia="zh-CN"/>
        </w:rPr>
      </w:pPr>
      <w:r>
        <w:rPr>
          <w:rFonts w:hint="eastAsia"/>
          <w:lang w:val="en-US" w:eastAsia="zh-CN"/>
        </w:rPr>
        <w:t>2</w:t>
      </w:r>
      <w:r>
        <w:rPr>
          <w:rFonts w:hint="default"/>
          <w:lang w:val="en-US" w:eastAsia="zh-CN"/>
        </w:rPr>
        <w:t>. 频率范围：10 Hz～20 kHz</w:t>
      </w:r>
    </w:p>
    <w:p w14:paraId="29901B01">
      <w:pPr>
        <w:numPr>
          <w:ilvl w:val="0"/>
          <w:numId w:val="0"/>
        </w:numPr>
        <w:ind w:leftChars="0"/>
        <w:rPr>
          <w:rFonts w:hint="default"/>
          <w:lang w:val="en-US" w:eastAsia="zh-CN"/>
        </w:rPr>
      </w:pPr>
      <w:r>
        <w:rPr>
          <w:rFonts w:hint="eastAsia"/>
          <w:lang w:val="en-US" w:eastAsia="zh-CN"/>
        </w:rPr>
        <w:t>3</w:t>
      </w:r>
      <w:r>
        <w:rPr>
          <w:rFonts w:hint="default"/>
          <w:lang w:val="en-US" w:eastAsia="zh-CN"/>
        </w:rPr>
        <w:t>. 测量范围：A计权声级：28 dB～136 dB；C计权峰值声级：60 dB～136 dB</w:t>
      </w:r>
    </w:p>
    <w:p w14:paraId="43ED9715">
      <w:pPr>
        <w:numPr>
          <w:ilvl w:val="0"/>
          <w:numId w:val="0"/>
        </w:numPr>
        <w:ind w:leftChars="0"/>
        <w:rPr>
          <w:rFonts w:hint="default"/>
          <w:lang w:val="en-US" w:eastAsia="zh-CN"/>
        </w:rPr>
      </w:pPr>
      <w:r>
        <w:rPr>
          <w:rFonts w:hint="eastAsia"/>
          <w:lang w:val="en-US" w:eastAsia="zh-CN"/>
        </w:rPr>
        <w:t>4</w:t>
      </w:r>
      <w:r>
        <w:rPr>
          <w:rFonts w:hint="default"/>
          <w:lang w:val="en-US" w:eastAsia="zh-CN"/>
        </w:rPr>
        <w:t>. 频率计权：并行（同时）A、C、Z计权</w:t>
      </w:r>
    </w:p>
    <w:p w14:paraId="4A0C9199">
      <w:pPr>
        <w:numPr>
          <w:ilvl w:val="0"/>
          <w:numId w:val="0"/>
        </w:numPr>
        <w:ind w:leftChars="0"/>
        <w:rPr>
          <w:rFonts w:hint="default"/>
          <w:lang w:val="en-US" w:eastAsia="zh-CN"/>
        </w:rPr>
      </w:pPr>
      <w:r>
        <w:rPr>
          <w:rFonts w:hint="eastAsia"/>
          <w:lang w:val="en-US" w:eastAsia="zh-CN"/>
        </w:rPr>
        <w:t>5</w:t>
      </w:r>
      <w:r>
        <w:rPr>
          <w:rFonts w:hint="default"/>
          <w:lang w:val="en-US" w:eastAsia="zh-CN"/>
        </w:rPr>
        <w:t>. 时间计权：并行（同时）F（快）、S（慢）、I（脉冲）、I110</w:t>
      </w:r>
    </w:p>
    <w:p w14:paraId="4AF50540">
      <w:pPr>
        <w:numPr>
          <w:ilvl w:val="0"/>
          <w:numId w:val="0"/>
        </w:numPr>
        <w:ind w:leftChars="0"/>
        <w:rPr>
          <w:rFonts w:hint="default"/>
          <w:lang w:val="en-US" w:eastAsia="zh-CN"/>
        </w:rPr>
      </w:pPr>
      <w:r>
        <w:rPr>
          <w:rFonts w:hint="eastAsia"/>
          <w:lang w:val="en-US" w:eastAsia="zh-CN"/>
        </w:rPr>
        <w:t>6</w:t>
      </w:r>
      <w:r>
        <w:rPr>
          <w:rFonts w:hint="default"/>
          <w:lang w:val="en-US" w:eastAsia="zh-CN"/>
        </w:rPr>
        <w:t>. 主要测量功能：总值积分、统计积分、声暴露级测量、1/1 OCT倍频程分析、1/3 OCT倍频程分析</w:t>
      </w:r>
    </w:p>
    <w:p w14:paraId="6A9B13F7">
      <w:pPr>
        <w:numPr>
          <w:ilvl w:val="0"/>
          <w:numId w:val="0"/>
        </w:numPr>
        <w:ind w:leftChars="0"/>
        <w:rPr>
          <w:rFonts w:hint="default"/>
          <w:lang w:val="en-US" w:eastAsia="zh-CN"/>
        </w:rPr>
      </w:pPr>
      <w:r>
        <w:rPr>
          <w:rFonts w:hint="eastAsia"/>
          <w:lang w:val="en-US" w:eastAsia="zh-CN"/>
        </w:rPr>
        <w:t>7</w:t>
      </w:r>
      <w:r>
        <w:rPr>
          <w:rFonts w:hint="default"/>
          <w:lang w:val="en-US" w:eastAsia="zh-CN"/>
        </w:rPr>
        <w:t>. 主要测量指标</w:t>
      </w:r>
      <w:r>
        <w:rPr>
          <w:rFonts w:hint="eastAsia"/>
          <w:lang w:val="en-US" w:eastAsia="zh-CN"/>
        </w:rPr>
        <w:t>包括但不限于：</w:t>
      </w:r>
      <w:r>
        <w:rPr>
          <w:rFonts w:hint="default"/>
          <w:lang w:val="en-US" w:eastAsia="zh-CN"/>
        </w:rPr>
        <w:t>Lxyp、Lxeq,T、Leq,t、Lxymax、Lxymin、LxE、Lxpeak、E、Ln、SD、TWA、Lex,8h、LAVG、DOSE、Ld、Ln、Ldn、Linst（注：x为A、C、Z；y为F、S、I、I110；n为5、10、50、90、95）</w:t>
      </w:r>
    </w:p>
    <w:p w14:paraId="56ACDDB9">
      <w:pPr>
        <w:numPr>
          <w:ilvl w:val="0"/>
          <w:numId w:val="0"/>
        </w:numPr>
        <w:ind w:leftChars="0"/>
        <w:rPr>
          <w:rFonts w:hint="default"/>
          <w:lang w:val="en-US" w:eastAsia="zh-CN"/>
        </w:rPr>
      </w:pPr>
      <w:r>
        <w:rPr>
          <w:rFonts w:hint="eastAsia"/>
          <w:lang w:val="en-US" w:eastAsia="zh-CN"/>
        </w:rPr>
        <w:t>8</w:t>
      </w:r>
      <w:r>
        <w:rPr>
          <w:rFonts w:hint="default"/>
          <w:lang w:val="en-US" w:eastAsia="zh-CN"/>
        </w:rPr>
        <w:t>.</w:t>
      </w:r>
      <w:r>
        <w:rPr>
          <w:rFonts w:hint="eastAsia"/>
          <w:lang w:val="en-US" w:eastAsia="zh-CN"/>
        </w:rPr>
        <w:t>设备配备</w:t>
      </w:r>
      <w:r>
        <w:rPr>
          <w:rFonts w:hint="default"/>
          <w:lang w:val="en-US" w:eastAsia="zh-CN"/>
        </w:rPr>
        <w:t> 倍频程频谱分析功能</w:t>
      </w:r>
      <w:r>
        <w:rPr>
          <w:rFonts w:hint="eastAsia"/>
          <w:lang w:val="en-US" w:eastAsia="zh-CN"/>
        </w:rPr>
        <w:t>、</w:t>
      </w:r>
      <w:r>
        <w:rPr>
          <w:rFonts w:hint="default"/>
          <w:lang w:val="en-US" w:eastAsia="zh-CN"/>
        </w:rPr>
        <w:t>滤波器类型：并行(实时)倍频程，G=10³/¹⁰。符合标准：GB/T 3241.1-2025 2级。滤波器中心频率：31.5 Hz、63 Hz、125 Hz、250 Hz、500 Hz、1 kHz、2 kHz、4 kHz、8 kHz</w:t>
      </w:r>
    </w:p>
    <w:p w14:paraId="2A5E5E85">
      <w:pPr>
        <w:numPr>
          <w:ilvl w:val="0"/>
          <w:numId w:val="0"/>
        </w:numPr>
        <w:ind w:leftChars="0"/>
        <w:rPr>
          <w:rFonts w:hint="default"/>
          <w:lang w:val="en-US" w:eastAsia="zh-CN"/>
        </w:rPr>
      </w:pPr>
      <w:r>
        <w:rPr>
          <w:rFonts w:hint="eastAsia"/>
          <w:lang w:val="en-US" w:eastAsia="zh-CN"/>
        </w:rPr>
        <w:t>9</w:t>
      </w:r>
      <w:r>
        <w:rPr>
          <w:rFonts w:hint="default"/>
          <w:lang w:val="en-US" w:eastAsia="zh-CN"/>
        </w:rPr>
        <w:t>.</w:t>
      </w:r>
      <w:r>
        <w:rPr>
          <w:rFonts w:hint="eastAsia"/>
          <w:lang w:val="en-US" w:eastAsia="zh-CN"/>
        </w:rPr>
        <w:t>设备包含</w:t>
      </w:r>
      <w:r>
        <w:rPr>
          <w:rFonts w:hint="default"/>
          <w:lang w:val="en-US" w:eastAsia="zh-CN"/>
        </w:rPr>
        <w:t>倍频程频谱分析功能</w:t>
      </w:r>
      <w:r>
        <w:rPr>
          <w:rFonts w:hint="eastAsia"/>
          <w:lang w:val="en-US" w:eastAsia="zh-CN"/>
        </w:rPr>
        <w:t>，</w:t>
      </w:r>
      <w:r>
        <w:rPr>
          <w:rFonts w:hint="default"/>
          <w:lang w:val="en-US" w:eastAsia="zh-CN"/>
        </w:rPr>
        <w:t>符合标准：GB/T 3241.1-2025 2级。</w:t>
      </w:r>
    </w:p>
    <w:p w14:paraId="6715A32F">
      <w:pPr>
        <w:numPr>
          <w:ilvl w:val="0"/>
          <w:numId w:val="0"/>
        </w:numPr>
        <w:ind w:leftChars="0"/>
        <w:rPr>
          <w:rFonts w:hint="default"/>
          <w:lang w:val="en-US" w:eastAsia="zh-CN"/>
        </w:rPr>
      </w:pPr>
      <w:r>
        <w:rPr>
          <w:rFonts w:hint="default"/>
          <w:lang w:val="en-US" w:eastAsia="zh-CN"/>
        </w:rPr>
        <w:t>滤波器中心频率</w:t>
      </w:r>
      <w:r>
        <w:rPr>
          <w:rFonts w:hint="eastAsia"/>
          <w:lang w:val="en-US" w:eastAsia="zh-CN"/>
        </w:rPr>
        <w:t>包括</w:t>
      </w:r>
      <w:r>
        <w:rPr>
          <w:rFonts w:hint="default"/>
          <w:lang w:val="en-US" w:eastAsia="zh-CN"/>
        </w:rPr>
        <w:t>：20 Hz、25 Hz、31.5 Hz、40 Hz、50 Hz、63 Hz、80 Hz、100 Hz、125 Hz、160 Hz、2</w:t>
      </w:r>
      <w:bookmarkStart w:id="0" w:name="_GoBack"/>
      <w:bookmarkEnd w:id="0"/>
      <w:r>
        <w:rPr>
          <w:rFonts w:hint="default"/>
          <w:lang w:val="en-US" w:eastAsia="zh-CN"/>
        </w:rPr>
        <w:t>00 Hz、250 Hz、315 Hz、400 Hz、500 Hz、630 Hz、800 Hz、1 kHz、1.25 kHz、1.6 kHz、2 kHz、2.5 kHz、3.15 kHz、4 kHz、5 kHz、6.3 kHz、8 kHz、10 kHz、12.5 kHz</w:t>
      </w:r>
    </w:p>
    <w:p w14:paraId="397D7E65">
      <w:pPr>
        <w:numPr>
          <w:ilvl w:val="0"/>
          <w:numId w:val="0"/>
        </w:numPr>
        <w:ind w:leftChars="0"/>
        <w:rPr>
          <w:rFonts w:hint="default"/>
          <w:lang w:val="en-US" w:eastAsia="zh-CN"/>
        </w:rPr>
      </w:pPr>
      <w:r>
        <w:rPr>
          <w:rFonts w:hint="default"/>
          <w:lang w:val="en-US" w:eastAsia="zh-CN"/>
        </w:rPr>
        <w:t>1</w:t>
      </w:r>
      <w:r>
        <w:rPr>
          <w:rFonts w:hint="eastAsia"/>
          <w:lang w:val="en-US" w:eastAsia="zh-CN"/>
        </w:rPr>
        <w:t>0.设备</w:t>
      </w:r>
      <w:r>
        <w:rPr>
          <w:rFonts w:hint="default"/>
          <w:lang w:val="en-US" w:eastAsia="zh-CN"/>
        </w:rPr>
        <w:t>时间计权</w:t>
      </w:r>
      <w:r>
        <w:rPr>
          <w:rFonts w:hint="eastAsia"/>
          <w:lang w:val="en-US" w:eastAsia="zh-CN"/>
        </w:rPr>
        <w:t>档位</w:t>
      </w:r>
      <w:r>
        <w:rPr>
          <w:rFonts w:hint="default"/>
          <w:lang w:val="en-US" w:eastAsia="zh-CN"/>
        </w:rPr>
        <w:t>：F</w:t>
      </w:r>
      <w:r>
        <w:rPr>
          <w:rFonts w:hint="eastAsia"/>
          <w:lang w:val="en-US" w:eastAsia="zh-CN"/>
        </w:rPr>
        <w:t>档</w:t>
      </w:r>
      <w:r>
        <w:rPr>
          <w:rFonts w:hint="default"/>
          <w:lang w:val="en-US" w:eastAsia="zh-CN"/>
        </w:rPr>
        <w:t>及S</w:t>
      </w:r>
      <w:r>
        <w:rPr>
          <w:rFonts w:hint="eastAsia"/>
          <w:lang w:val="en-US" w:eastAsia="zh-CN"/>
        </w:rPr>
        <w:t>档</w:t>
      </w:r>
      <w:r>
        <w:rPr>
          <w:rFonts w:hint="default"/>
          <w:lang w:val="en-US" w:eastAsia="zh-CN"/>
        </w:rPr>
        <w:t>。</w:t>
      </w:r>
    </w:p>
    <w:p w14:paraId="495D2EDD">
      <w:pPr>
        <w:numPr>
          <w:ilvl w:val="0"/>
          <w:numId w:val="0"/>
        </w:numPr>
        <w:ind w:leftChars="0"/>
        <w:rPr>
          <w:rFonts w:hint="default"/>
          <w:lang w:val="en-US" w:eastAsia="zh-CN"/>
        </w:rPr>
      </w:pPr>
      <w:r>
        <w:rPr>
          <w:rFonts w:hint="default"/>
          <w:lang w:val="en-US" w:eastAsia="zh-CN"/>
        </w:rPr>
        <w:t>1</w:t>
      </w:r>
      <w:r>
        <w:rPr>
          <w:rFonts w:hint="eastAsia"/>
          <w:lang w:val="en-US" w:eastAsia="zh-CN"/>
        </w:rPr>
        <w:t>1</w:t>
      </w:r>
      <w:r>
        <w:rPr>
          <w:rFonts w:hint="default"/>
          <w:lang w:val="en-US" w:eastAsia="zh-CN"/>
        </w:rPr>
        <w:t>.实时分析：同时完成所有中心频率及A计权，C计权，Z计权、用户自定义频率计权。</w:t>
      </w:r>
    </w:p>
    <w:p w14:paraId="4EBE20D0">
      <w:pPr>
        <w:numPr>
          <w:ilvl w:val="0"/>
          <w:numId w:val="0"/>
        </w:numPr>
        <w:ind w:leftChars="0"/>
        <w:rPr>
          <w:rFonts w:hint="default"/>
          <w:lang w:val="en-US" w:eastAsia="zh-CN"/>
        </w:rPr>
      </w:pPr>
      <w:r>
        <w:rPr>
          <w:rFonts w:hint="default"/>
          <w:lang w:val="en-US" w:eastAsia="zh-CN"/>
        </w:rPr>
        <w:t>1</w:t>
      </w:r>
      <w:r>
        <w:rPr>
          <w:rFonts w:hint="eastAsia"/>
          <w:lang w:val="en-US" w:eastAsia="zh-CN"/>
        </w:rPr>
        <w:t>2</w:t>
      </w:r>
      <w:r>
        <w:rPr>
          <w:rFonts w:hint="default"/>
          <w:lang w:val="en-US" w:eastAsia="zh-CN"/>
        </w:rPr>
        <w:t>.数据存储：</w:t>
      </w:r>
      <w:r>
        <w:rPr>
          <w:rFonts w:hint="eastAsia"/>
          <w:lang w:val="en-US" w:eastAsia="zh-CN"/>
        </w:rPr>
        <w:t>不小于</w:t>
      </w:r>
      <w:r>
        <w:rPr>
          <w:rFonts w:hint="default"/>
          <w:lang w:val="en-US" w:eastAsia="zh-CN"/>
        </w:rPr>
        <w:t>4 GB内部存储，最大可支持</w:t>
      </w:r>
      <w:r>
        <w:rPr>
          <w:rFonts w:hint="eastAsia"/>
          <w:lang w:val="en-US" w:eastAsia="zh-CN"/>
        </w:rPr>
        <w:t>不小于</w:t>
      </w:r>
      <w:r>
        <w:rPr>
          <w:rFonts w:hint="default"/>
          <w:lang w:val="en-US" w:eastAsia="zh-CN"/>
        </w:rPr>
        <w:t>64 GB TF卡扩展</w:t>
      </w:r>
    </w:p>
    <w:p w14:paraId="225CE3B4">
      <w:pPr>
        <w:numPr>
          <w:ilvl w:val="0"/>
          <w:numId w:val="0"/>
        </w:numPr>
        <w:ind w:leftChars="0"/>
        <w:rPr>
          <w:rFonts w:hint="default"/>
          <w:lang w:val="en-US" w:eastAsia="zh-CN"/>
        </w:rPr>
      </w:pPr>
      <w:r>
        <w:rPr>
          <w:rFonts w:hint="default"/>
          <w:lang w:val="en-US" w:eastAsia="zh-CN"/>
        </w:rPr>
        <w:t>1</w:t>
      </w:r>
      <w:r>
        <w:rPr>
          <w:rFonts w:hint="eastAsia"/>
          <w:lang w:val="en-US" w:eastAsia="zh-CN"/>
        </w:rPr>
        <w:t>3</w:t>
      </w:r>
      <w:r>
        <w:rPr>
          <w:rFonts w:hint="default"/>
          <w:lang w:val="en-US" w:eastAsia="zh-CN"/>
        </w:rPr>
        <w:t>.通信方式：交流输出、直流输出、IO扩展口、USB接口</w:t>
      </w:r>
    </w:p>
    <w:p w14:paraId="234FBC48">
      <w:pPr>
        <w:numPr>
          <w:ilvl w:val="0"/>
          <w:numId w:val="0"/>
        </w:numPr>
        <w:ind w:leftChars="0"/>
        <w:rPr>
          <w:rFonts w:hint="default"/>
          <w:lang w:val="en-US" w:eastAsia="zh-CN"/>
        </w:rPr>
      </w:pPr>
      <w:r>
        <w:rPr>
          <w:rFonts w:hint="default"/>
          <w:lang w:val="en-US" w:eastAsia="zh-CN"/>
        </w:rPr>
        <w:t>1</w:t>
      </w:r>
      <w:r>
        <w:rPr>
          <w:rFonts w:hint="eastAsia"/>
          <w:lang w:val="en-US" w:eastAsia="zh-CN"/>
        </w:rPr>
        <w:t>4</w:t>
      </w:r>
      <w:r>
        <w:rPr>
          <w:rFonts w:hint="default"/>
          <w:lang w:val="en-US" w:eastAsia="zh-CN"/>
        </w:rPr>
        <w:t>. 外壳防护等级：IP 54</w:t>
      </w:r>
    </w:p>
    <w:p w14:paraId="321FE8AA">
      <w:pPr>
        <w:numPr>
          <w:ilvl w:val="0"/>
          <w:numId w:val="0"/>
        </w:numPr>
        <w:ind w:leftChars="0"/>
        <w:rPr>
          <w:rFonts w:hint="default"/>
          <w:lang w:val="en-US" w:eastAsia="zh-CN"/>
        </w:rPr>
      </w:pPr>
      <w:r>
        <w:rPr>
          <w:rFonts w:hint="default"/>
          <w:lang w:val="en-US" w:eastAsia="zh-CN"/>
        </w:rPr>
        <w:t>1</w:t>
      </w:r>
      <w:r>
        <w:rPr>
          <w:rFonts w:hint="eastAsia"/>
          <w:lang w:val="en-US" w:eastAsia="zh-CN"/>
        </w:rPr>
        <w:t>5</w:t>
      </w:r>
      <w:r>
        <w:rPr>
          <w:rFonts w:hint="default"/>
          <w:lang w:val="en-US" w:eastAsia="zh-CN"/>
        </w:rPr>
        <w:t>.供电方式：</w:t>
      </w:r>
      <w:r>
        <w:rPr>
          <w:rFonts w:hint="eastAsia"/>
          <w:lang w:val="en-US" w:eastAsia="zh-CN"/>
        </w:rPr>
        <w:t>1）</w:t>
      </w:r>
      <w:r>
        <w:rPr>
          <w:rFonts w:hint="default"/>
          <w:lang w:val="en-US" w:eastAsia="zh-CN"/>
        </w:rPr>
        <w:t>干电池供电；2）5V/1 A外接电源</w:t>
      </w:r>
    </w:p>
    <w:p w14:paraId="686B95AD">
      <w:pPr>
        <w:numPr>
          <w:ilvl w:val="0"/>
          <w:numId w:val="0"/>
        </w:numPr>
        <w:ind w:leftChars="0"/>
        <w:rPr>
          <w:rFonts w:hint="default"/>
          <w:lang w:val="en-US" w:eastAsia="zh-CN"/>
        </w:rPr>
      </w:pPr>
      <w:r>
        <w:rPr>
          <w:rFonts w:hint="default"/>
          <w:lang w:val="en-US" w:eastAsia="zh-CN"/>
        </w:rPr>
        <w:t>1</w:t>
      </w:r>
      <w:r>
        <w:rPr>
          <w:rFonts w:hint="eastAsia"/>
          <w:lang w:val="en-US" w:eastAsia="zh-CN"/>
        </w:rPr>
        <w:t>6</w:t>
      </w:r>
      <w:r>
        <w:rPr>
          <w:rFonts w:hint="default"/>
          <w:lang w:val="en-US" w:eastAsia="zh-CN"/>
        </w:rPr>
        <w:t>.工作温度：-10℃~50℃</w:t>
      </w:r>
    </w:p>
    <w:p w14:paraId="1C1F773F">
      <w:pPr>
        <w:numPr>
          <w:ilvl w:val="0"/>
          <w:numId w:val="0"/>
        </w:numPr>
        <w:spacing w:line="240" w:lineRule="auto"/>
        <w:ind w:left="0" w:leftChars="0"/>
        <w:jc w:val="left"/>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lang w:val="en-US" w:eastAsia="zh-CN"/>
        </w:rPr>
        <w:t>▲1</w:t>
      </w:r>
      <w:r>
        <w:rPr>
          <w:rFonts w:hint="eastAsia"/>
          <w:lang w:val="en-US" w:eastAsia="zh-CN"/>
        </w:rPr>
        <w:t>7</w:t>
      </w:r>
      <w:r>
        <w:rPr>
          <w:rFonts w:hint="default"/>
          <w:lang w:val="en-US" w:eastAsia="zh-CN"/>
        </w:rPr>
        <w:t>.防爆认证：本安型防爆，具备矿用+工厂双防爆认证，防爆标志：Ex ib I Mb / Ex ib IIC T4 Gb</w:t>
      </w:r>
      <w:r>
        <w:rPr>
          <w:rFonts w:hint="eastAsia"/>
          <w:lang w:val="en-US" w:eastAsia="zh-CN"/>
        </w:rPr>
        <w:t>（提供证明文件）</w:t>
      </w:r>
    </w:p>
    <w:p w14:paraId="46E29A2C">
      <w:pPr>
        <w:numPr>
          <w:ilvl w:val="0"/>
          <w:numId w:val="0"/>
        </w:numPr>
        <w:spacing w:line="276" w:lineRule="auto"/>
        <w:ind w:left="-141" w:leftChars="-67" w:firstLine="0" w:firstLineChars="0"/>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三、</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商务要求</w:t>
      </w:r>
    </w:p>
    <w:p w14:paraId="7D4471AE">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1、中标人必须按项目进度安排计划，派出适当的技术人员到安装现场负责免费安装和调试工作。在安装施工期间，严格遵守用户方的有关规定。</w:t>
      </w:r>
    </w:p>
    <w:p w14:paraId="4871B6A7">
      <w:p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2、安装验收期间，在招标人所在地对招标人进行仪器操作、日常维护、所有检测指标的现场培训，2年内须提供不少于每年1次的上门免费培训服务。培训所需全部费用均已包含在投标报价中。</w:t>
      </w:r>
    </w:p>
    <w:p w14:paraId="305CBD9B">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3、中标人应将关键主机设备的用户手册、保修手册、有关单证资料及配备件、随机工具等交付给采购人，使用操作及安全须知等重要资料应附有中文说明。</w:t>
      </w:r>
    </w:p>
    <w:p w14:paraId="072C58C2">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4、招标人按照采购合同规定的技术、服务、安全标准组织对中标人履约情况进行验收，并出具验收书。验收书应当包括每一项技术、服务、安全标准的履约情况。</w:t>
      </w:r>
    </w:p>
    <w:p w14:paraId="325C0BE8">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5、交付验收标准依次序对照适用标准为：①符合中华人民共和国“国家安全质量标准、环保标准或行业标准；”②符合招标文件和响应承诺中招标人认可的合理最佳配置、参数及各项要求；③货物来源国官方标准。货物为原厂商未启封全新包装，具出厂合格证，序列号、包装箱号与出厂批号一致，并可追溯查阅。所有随设备的附件必须齐全。</w:t>
      </w:r>
    </w:p>
    <w:p w14:paraId="36E6AF2F">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6、中标人将货物的用户手册、保修手册、有关单证资料及备品备件、随机工具等交付给招标人，使用操作及安全须知等重要资料应附有中文说明。货物验收所发生的检验费用由中标人负担。</w:t>
      </w:r>
    </w:p>
    <w:p w14:paraId="18890865">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8、中标人负责设备的供货、安装调试、验收，经招标人验收合格方可。</w:t>
      </w:r>
      <w:r>
        <w:rPr>
          <w:rFonts w:hint="eastAsia" w:ascii="Times New Roman" w:hAnsi="Times New Roman" w:eastAsia="宋体" w:cs="Times New Roman"/>
          <w:bCs/>
          <w:color w:val="000000" w:themeColor="text1"/>
          <w:kern w:val="0"/>
          <w:sz w:val="21"/>
          <w:szCs w:val="21"/>
          <w:highlight w:val="yellow"/>
          <w:lang w:val="en-US" w:eastAsia="zh-CN" w:bidi="ar-SA"/>
          <w14:textFill>
            <w14:solidFill>
              <w14:schemeClr w14:val="tx1"/>
            </w14:solidFill>
          </w14:textFill>
        </w:rPr>
        <w:t>质量保证期不少于1年</w:t>
      </w: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自招标人和中标人代表在货物安装调试验收后的验收书上签字之日起计算。“技术要求”中另有要求的，以其中的要求为准。维保服务可由设备制造商或其授权服务商提供，授权文件须包含制造商公章、授权项目编号、有效期及官方联系人，确保授权链完整可溯。质保期后设备维修配件更换只收取成本费用。须提供由原设备生产厂家授权的总代理或者原设备生产厂家针对本项目出具的售后服务承诺书。</w:t>
      </w:r>
    </w:p>
    <w:p w14:paraId="769FEC37">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9、对招标人的服务通知，中标人在接报后 24 小时内响应， 48 小时内到达现场， 72 小时内处理完毕。若在 72 小时内仍未能有效解决，则自取走故障件之日起，3个工作日内提供备品以保证业务正常开展，若无法按时修复或如期提供备品造成停机，则按1:2延长保修期(即停机1天，延长保修期2天，如停用时间累计超过60天则保修期重新计算。)，若完全不能修复则由中标人免费更换同款整机。</w:t>
      </w:r>
    </w:p>
    <w:p w14:paraId="3DE7FC6C">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p>
    <w:p w14:paraId="2BF8D990">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7C6D35CB">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73FBF9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D7A4A9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64B9C626">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D54F507">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FAAC86F">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17EB1692">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1AE043F8">
      <w:pPr>
        <w:spacing w:line="276" w:lineRule="auto"/>
        <w:ind w:left="0" w:leftChars="0"/>
        <w:jc w:val="both"/>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1A3FDC46">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6898D8B">
      <w:pPr>
        <w:spacing w:line="276" w:lineRule="auto"/>
        <w:ind w:left="-141" w:leftChars="-67"/>
        <w:jc w:val="cente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包二、噪声峰度测量仪 12台 限价15万元</w:t>
      </w:r>
    </w:p>
    <w:p w14:paraId="6792F219">
      <w:pPr>
        <w:numPr>
          <w:ilvl w:val="0"/>
          <w:numId w:val="0"/>
        </w:numPr>
        <w:spacing w:line="276" w:lineRule="auto"/>
        <w:ind w:left="-141" w:leftChars="-67"/>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一、</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 xml:space="preserve">基本要求  </w:t>
      </w:r>
    </w:p>
    <w:p w14:paraId="3FB53AC5">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名称：噪声峰度测量仪 </w:t>
      </w:r>
    </w:p>
    <w:p w14:paraId="416EC811">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数量：12台</w:t>
      </w:r>
    </w:p>
    <w:p w14:paraId="7D5FA110">
      <w:pPr>
        <w:spacing w:line="276" w:lineRule="auto"/>
        <w:ind w:left="-141" w:leftChars="-67"/>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二、主要技术要求（达到或优于）</w:t>
      </w:r>
    </w:p>
    <w:p w14:paraId="542E2FCA">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1.测量通道:一通道噪声</w:t>
      </w:r>
    </w:p>
    <w:p w14:paraId="0E2CC995">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2.符合检定规程:JJG188 .JJG778 JJG980. JJG655.</w:t>
      </w:r>
    </w:p>
    <w:p w14:paraId="231B5805">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3.噪声测量范围:53-143dB(传声器灵敏度级:-53dB)</w:t>
      </w:r>
    </w:p>
    <w:p w14:paraId="72739EAC">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5.噪声频率范围:20Hz~10kHz</w:t>
      </w:r>
    </w:p>
    <w:p w14:paraId="6520C705">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6.频率计权:</w:t>
      </w:r>
      <w:r>
        <w:rPr>
          <w:rFonts w:hint="eastAsia" w:ascii="Times New Roman" w:hAnsi="Times New Roman" w:eastAsia="宋体" w:cs="Times New Roman"/>
          <w:color w:val="000000" w:themeColor="text1"/>
          <w:szCs w:val="21"/>
          <w:lang w:val="en-US" w:eastAsia="zh-CN"/>
          <w14:textFill>
            <w14:solidFill>
              <w14:schemeClr w14:val="tx1"/>
            </w14:solidFill>
          </w14:textFill>
        </w:rPr>
        <w:t>具备</w:t>
      </w:r>
      <w:r>
        <w:rPr>
          <w:rFonts w:hint="default" w:ascii="Times New Roman" w:hAnsi="Times New Roman" w:eastAsia="宋体" w:cs="Times New Roman"/>
          <w:color w:val="000000" w:themeColor="text1"/>
          <w:szCs w:val="21"/>
          <w:lang w:val="en-US" w:eastAsia="zh-CN"/>
          <w14:textFill>
            <w14:solidFill>
              <w14:schemeClr w14:val="tx1"/>
            </w14:solidFill>
          </w14:textFill>
        </w:rPr>
        <w:t>A</w:t>
      </w:r>
      <w:r>
        <w:rPr>
          <w:rFonts w:hint="eastAsia" w:ascii="Times New Roman" w:hAnsi="Times New Roman" w:eastAsia="宋体" w:cs="Times New Roman"/>
          <w:color w:val="000000" w:themeColor="text1"/>
          <w:szCs w:val="21"/>
          <w:lang w:val="en-US" w:eastAsia="zh-CN"/>
          <w14:textFill>
            <w14:solidFill>
              <w14:schemeClr w14:val="tx1"/>
            </w14:solidFill>
          </w14:textFill>
        </w:rPr>
        <w:t>计权</w:t>
      </w:r>
      <w:r>
        <w:rPr>
          <w:rFonts w:hint="default" w:ascii="Times New Roman" w:hAnsi="Times New Roman" w:eastAsia="宋体" w:cs="Times New Roman"/>
          <w:color w:val="000000" w:themeColor="text1"/>
          <w:szCs w:val="21"/>
          <w:lang w:val="en-US" w:eastAsia="zh-CN"/>
          <w14:textFill>
            <w14:solidFill>
              <w14:schemeClr w14:val="tx1"/>
            </w14:solidFill>
          </w14:textFill>
        </w:rPr>
        <w:t>,C</w:t>
      </w:r>
      <w:r>
        <w:rPr>
          <w:rFonts w:hint="eastAsia" w:ascii="Times New Roman" w:hAnsi="Times New Roman" w:eastAsia="宋体" w:cs="Times New Roman"/>
          <w:color w:val="000000" w:themeColor="text1"/>
          <w:szCs w:val="21"/>
          <w:lang w:val="en-US" w:eastAsia="zh-CN"/>
          <w14:textFill>
            <w14:solidFill>
              <w14:schemeClr w14:val="tx1"/>
            </w14:solidFill>
          </w14:textFill>
        </w:rPr>
        <w:t>计权</w:t>
      </w:r>
      <w:r>
        <w:rPr>
          <w:rFonts w:hint="default" w:ascii="Times New Roman" w:hAnsi="Times New Roman" w:eastAsia="宋体" w:cs="Times New Roman"/>
          <w:color w:val="000000" w:themeColor="text1"/>
          <w:szCs w:val="21"/>
          <w:lang w:val="en-US" w:eastAsia="zh-CN"/>
          <w14:textFill>
            <w14:solidFill>
              <w14:schemeClr w14:val="tx1"/>
            </w14:solidFill>
          </w14:textFill>
        </w:rPr>
        <w:t>,Z</w:t>
      </w:r>
      <w:r>
        <w:rPr>
          <w:rFonts w:hint="eastAsia" w:ascii="Times New Roman" w:hAnsi="Times New Roman" w:eastAsia="宋体" w:cs="Times New Roman"/>
          <w:color w:val="000000" w:themeColor="text1"/>
          <w:szCs w:val="21"/>
          <w:lang w:val="en-US" w:eastAsia="zh-CN"/>
          <w14:textFill>
            <w14:solidFill>
              <w14:schemeClr w14:val="tx1"/>
            </w14:solidFill>
          </w14:textFill>
        </w:rPr>
        <w:t>计权等频率计权方式</w:t>
      </w:r>
    </w:p>
    <w:p w14:paraId="4775DBE9">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7.时间计权:</w:t>
      </w:r>
      <w:r>
        <w:rPr>
          <w:rFonts w:hint="eastAsia" w:ascii="Times New Roman" w:hAnsi="Times New Roman" w:eastAsia="宋体" w:cs="Times New Roman"/>
          <w:color w:val="000000" w:themeColor="text1"/>
          <w:szCs w:val="21"/>
          <w:lang w:val="en-US" w:eastAsia="zh-CN"/>
          <w14:textFill>
            <w14:solidFill>
              <w14:schemeClr w14:val="tx1"/>
            </w14:solidFill>
          </w14:textFill>
        </w:rPr>
        <w:t>具备</w:t>
      </w:r>
      <w:r>
        <w:rPr>
          <w:rFonts w:hint="default" w:ascii="Times New Roman" w:hAnsi="Times New Roman" w:eastAsia="宋体" w:cs="Times New Roman"/>
          <w:color w:val="000000" w:themeColor="text1"/>
          <w:szCs w:val="21"/>
          <w:lang w:val="en-US" w:eastAsia="zh-CN"/>
          <w14:textFill>
            <w14:solidFill>
              <w14:schemeClr w14:val="tx1"/>
            </w14:solidFill>
          </w14:textFill>
        </w:rPr>
        <w:t>F</w:t>
      </w:r>
      <w:r>
        <w:rPr>
          <w:rFonts w:hint="eastAsia" w:ascii="Times New Roman" w:hAnsi="Times New Roman" w:eastAsia="宋体" w:cs="Times New Roman"/>
          <w:color w:val="000000" w:themeColor="text1"/>
          <w:szCs w:val="21"/>
          <w:lang w:val="en-US" w:eastAsia="zh-CN"/>
          <w14:textFill>
            <w14:solidFill>
              <w14:schemeClr w14:val="tx1"/>
            </w14:solidFill>
          </w14:textFill>
        </w:rPr>
        <w:t>档</w:t>
      </w:r>
      <w:r>
        <w:rPr>
          <w:rFonts w:hint="default" w:ascii="Times New Roman" w:hAnsi="Times New Roman" w:eastAsia="宋体" w:cs="Times New Roman"/>
          <w:color w:val="000000" w:themeColor="text1"/>
          <w:szCs w:val="21"/>
          <w:lang w:val="en-US" w:eastAsia="zh-CN"/>
          <w14:textFill>
            <w14:solidFill>
              <w14:schemeClr w14:val="tx1"/>
            </w14:solidFill>
          </w14:textFill>
        </w:rPr>
        <w:t>、S</w:t>
      </w:r>
      <w:r>
        <w:rPr>
          <w:rFonts w:hint="eastAsia" w:ascii="Times New Roman" w:hAnsi="Times New Roman" w:eastAsia="宋体" w:cs="Times New Roman"/>
          <w:color w:val="000000" w:themeColor="text1"/>
          <w:szCs w:val="21"/>
          <w:lang w:val="en-US" w:eastAsia="zh-CN"/>
          <w14:textFill>
            <w14:solidFill>
              <w14:schemeClr w14:val="tx1"/>
            </w14:solidFill>
          </w14:textFill>
        </w:rPr>
        <w:t>档</w:t>
      </w:r>
      <w:r>
        <w:rPr>
          <w:rFonts w:hint="default" w:ascii="Times New Roman" w:hAnsi="Times New Roman" w:eastAsia="宋体" w:cs="Times New Roman"/>
          <w:color w:val="000000" w:themeColor="text1"/>
          <w:szCs w:val="21"/>
          <w:lang w:val="en-US" w:eastAsia="zh-CN"/>
          <w14:textFill>
            <w14:solidFill>
              <w14:schemeClr w14:val="tx1"/>
            </w14:solidFill>
          </w14:textFill>
        </w:rPr>
        <w:t>、I</w:t>
      </w:r>
      <w:r>
        <w:rPr>
          <w:rFonts w:hint="eastAsia" w:ascii="Times New Roman" w:hAnsi="Times New Roman" w:eastAsia="宋体" w:cs="Times New Roman"/>
          <w:color w:val="000000" w:themeColor="text1"/>
          <w:szCs w:val="21"/>
          <w:lang w:val="en-US" w:eastAsia="zh-CN"/>
          <w14:textFill>
            <w14:solidFill>
              <w14:schemeClr w14:val="tx1"/>
            </w14:solidFill>
          </w14:textFill>
        </w:rPr>
        <w:t>档</w:t>
      </w:r>
      <w:r>
        <w:rPr>
          <w:rFonts w:hint="default" w:ascii="Times New Roman" w:hAnsi="Times New Roman" w:eastAsia="宋体" w:cs="Times New Roman"/>
          <w:color w:val="000000" w:themeColor="text1"/>
          <w:szCs w:val="21"/>
          <w:lang w:val="en-US" w:eastAsia="zh-CN"/>
          <w14:textFill>
            <w14:solidFill>
              <w14:schemeClr w14:val="tx1"/>
            </w14:solidFill>
          </w14:textFill>
        </w:rPr>
        <w:t>、Peak</w:t>
      </w:r>
      <w:r>
        <w:rPr>
          <w:rFonts w:hint="eastAsia" w:ascii="Times New Roman" w:hAnsi="Times New Roman" w:eastAsia="宋体" w:cs="Times New Roman"/>
          <w:color w:val="000000" w:themeColor="text1"/>
          <w:szCs w:val="21"/>
          <w:lang w:val="en-US" w:eastAsia="zh-CN"/>
          <w14:textFill>
            <w14:solidFill>
              <w14:schemeClr w14:val="tx1"/>
            </w14:solidFill>
          </w14:textFill>
        </w:rPr>
        <w:t>档等时间计权方式</w:t>
      </w:r>
    </w:p>
    <w:p w14:paraId="74E7F3D8">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8.▲噪声测量指标</w:t>
      </w:r>
      <w:r>
        <w:rPr>
          <w:rFonts w:hint="eastAsia" w:ascii="Times New Roman" w:hAnsi="Times New Roman" w:eastAsia="宋体" w:cs="Times New Roman"/>
          <w:color w:val="000000" w:themeColor="text1"/>
          <w:szCs w:val="21"/>
          <w:lang w:val="en-US" w:eastAsia="zh-CN"/>
          <w14:textFill>
            <w14:solidFill>
              <w14:schemeClr w14:val="tx1"/>
            </w14:solidFill>
          </w14:textFill>
        </w:rPr>
        <w:t>包括但不限于</w:t>
      </w:r>
      <w:r>
        <w:rPr>
          <w:rFonts w:hint="default" w:ascii="Times New Roman" w:hAnsi="Times New Roman" w:eastAsia="宋体" w:cs="Times New Roman"/>
          <w:color w:val="000000" w:themeColor="text1"/>
          <w:szCs w:val="21"/>
          <w:lang w:val="en-US" w:eastAsia="zh-CN"/>
          <w14:textFill>
            <w14:solidFill>
              <w14:schemeClr w14:val="tx1"/>
            </w14:solidFill>
          </w14:textFill>
        </w:rPr>
        <w:t>Lex,8h;Lex,8h’;Leq,T;E;Dose;LAVG;SEL;TWA;Ln;Lmax、Lmin;</w:t>
      </w:r>
    </w:p>
    <w:p w14:paraId="6DE366B8">
      <w:pPr>
        <w:numPr>
          <w:ilvl w:val="0"/>
          <w:numId w:val="0"/>
        </w:numPr>
        <w:spacing w:line="276" w:lineRule="auto"/>
        <w:jc w:val="left"/>
        <w:rPr>
          <w:rFonts w:hint="default" w:ascii="Times New Roman" w:hAnsi="Times New Roman" w:cs="Times New Roman" w:eastAsiaTheme="minorEastAsia"/>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▲9.防爆标志：</w:t>
      </w:r>
      <w:r>
        <w:rPr>
          <w:rFonts w:hint="eastAsia" w:ascii="Times New Roman" w:hAnsi="Times New Roman" w:eastAsia="宋体" w:cs="Times New Roman"/>
          <w:color w:val="000000" w:themeColor="text1"/>
          <w:szCs w:val="21"/>
          <w:lang w:val="en-US" w:eastAsia="zh-CN"/>
          <w14:textFill>
            <w14:solidFill>
              <w14:schemeClr w14:val="tx1"/>
            </w14:solidFill>
          </w14:textFill>
        </w:rPr>
        <w:t>具备</w:t>
      </w:r>
      <w:r>
        <w:rPr>
          <w:rFonts w:hint="default" w:ascii="Times New Roman" w:hAnsi="Times New Roman" w:eastAsia="宋体" w:cs="Times New Roman"/>
          <w:color w:val="000000" w:themeColor="text1"/>
          <w:szCs w:val="21"/>
          <w:lang w:val="en-US" w:eastAsia="zh-CN"/>
          <w14:textFill>
            <w14:solidFill>
              <w14:schemeClr w14:val="tx1"/>
            </w14:solidFill>
          </w14:textFill>
        </w:rPr>
        <w:t>Ex ia IIC T4 Ga</w:t>
      </w:r>
      <w:r>
        <w:rPr>
          <w:rFonts w:hint="eastAsia"/>
          <w:lang w:val="en-US" w:eastAsia="zh-CN"/>
        </w:rPr>
        <w:t>防爆标志</w:t>
      </w:r>
    </w:p>
    <w:p w14:paraId="621DC797">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10.电源：锂电（1000mAH），低关机电流（＜20uA）</w:t>
      </w:r>
    </w:p>
    <w:p w14:paraId="26E4D611">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11.防水防尘：IP54级别</w:t>
      </w:r>
    </w:p>
    <w:p w14:paraId="1EC2CBD0">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12.</w:t>
      </w:r>
      <w:r>
        <w:rPr>
          <w:rFonts w:hint="eastAsia" w:ascii="Times New Roman" w:hAnsi="Times New Roman" w:eastAsia="宋体" w:cs="Times New Roman"/>
          <w:color w:val="000000" w:themeColor="text1"/>
          <w:szCs w:val="21"/>
          <w:lang w:val="en-US" w:eastAsia="zh-CN"/>
          <w14:textFill>
            <w14:solidFill>
              <w14:schemeClr w14:val="tx1"/>
            </w14:solidFill>
          </w14:textFill>
        </w:rPr>
        <w:t>设备应</w:t>
      </w:r>
      <w:r>
        <w:rPr>
          <w:rFonts w:hint="default" w:ascii="Times New Roman" w:hAnsi="Times New Roman" w:eastAsia="宋体" w:cs="Times New Roman"/>
          <w:color w:val="000000" w:themeColor="text1"/>
          <w:szCs w:val="21"/>
          <w:lang w:val="en-US" w:eastAsia="zh-CN"/>
          <w14:textFill>
            <w14:solidFill>
              <w14:schemeClr w14:val="tx1"/>
            </w14:solidFill>
          </w14:textFill>
        </w:rPr>
        <w:t>支持蓝牙、48kHz,32Bit录音及数据记录功能</w:t>
      </w:r>
    </w:p>
    <w:p w14:paraId="0DC3DA0C">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▲13</w:t>
      </w:r>
      <w:r>
        <w:rPr>
          <w:rFonts w:hint="eastAsia" w:ascii="Times New Roman" w:hAnsi="Times New Roman" w:eastAsia="宋体" w:cs="Times New Roman"/>
          <w:color w:val="000000" w:themeColor="text1"/>
          <w:szCs w:val="21"/>
          <w:lang w:val="en-US" w:eastAsia="zh-CN"/>
          <w14:textFill>
            <w14:solidFill>
              <w14:schemeClr w14:val="tx1"/>
            </w14:solidFill>
          </w14:textFill>
        </w:rPr>
        <w:t>设备应</w:t>
      </w:r>
      <w:r>
        <w:rPr>
          <w:rFonts w:hint="default" w:ascii="Times New Roman" w:hAnsi="Times New Roman" w:eastAsia="宋体" w:cs="Times New Roman"/>
          <w:color w:val="000000" w:themeColor="text1"/>
          <w:szCs w:val="21"/>
          <w:lang w:val="en-US" w:eastAsia="zh-CN"/>
          <w14:textFill>
            <w14:solidFill>
              <w14:schemeClr w14:val="tx1"/>
            </w14:solidFill>
          </w14:textFill>
        </w:rPr>
        <w:t>支持与智能移动终端远程遥控功能（至少含实时测量、仪器设置、数据管理、质量控制等功能模块），提供APP相关功能照片</w:t>
      </w:r>
    </w:p>
    <w:p w14:paraId="2DC436E2">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▲14</w:t>
      </w:r>
      <w:r>
        <w:rPr>
          <w:rFonts w:hint="eastAsia" w:ascii="Times New Roman" w:hAnsi="Times New Roman" w:eastAsia="宋体" w:cs="Times New Roman"/>
          <w:color w:val="000000" w:themeColor="text1"/>
          <w:szCs w:val="21"/>
          <w:lang w:val="en-US" w:eastAsia="zh-CN"/>
          <w14:textFill>
            <w14:solidFill>
              <w14:schemeClr w14:val="tx1"/>
            </w14:solidFill>
          </w14:textFill>
        </w:rPr>
        <w:t>设备可提供</w:t>
      </w:r>
      <w:r>
        <w:rPr>
          <w:rFonts w:hint="default" w:ascii="Times New Roman" w:hAnsi="Times New Roman" w:eastAsia="宋体" w:cs="Times New Roman"/>
          <w:color w:val="000000" w:themeColor="text1"/>
          <w:szCs w:val="21"/>
          <w:lang w:val="en-US" w:eastAsia="zh-CN"/>
          <w14:textFill>
            <w14:solidFill>
              <w14:schemeClr w14:val="tx1"/>
            </w14:solidFill>
          </w14:textFill>
        </w:rPr>
        <w:t>拓展功能</w:t>
      </w:r>
      <w:r>
        <w:rPr>
          <w:rFonts w:hint="eastAsia" w:ascii="Times New Roman" w:hAnsi="Times New Roman" w:eastAsia="宋体" w:cs="Times New Roman"/>
          <w:color w:val="000000" w:themeColor="text1"/>
          <w:szCs w:val="21"/>
          <w:lang w:val="en-US" w:eastAsia="zh-CN"/>
          <w14:textFill>
            <w14:solidFill>
              <w14:schemeClr w14:val="tx1"/>
            </w14:solidFill>
          </w14:textFill>
        </w:rPr>
        <w:t>包含</w:t>
      </w:r>
      <w:r>
        <w:rPr>
          <w:rFonts w:hint="default" w:ascii="Times New Roman" w:hAnsi="Times New Roman" w:eastAsia="宋体" w:cs="Times New Roman"/>
          <w:color w:val="000000" w:themeColor="text1"/>
          <w:szCs w:val="21"/>
          <w:lang w:val="en-US" w:eastAsia="zh-CN"/>
          <w14:textFill>
            <w14:solidFill>
              <w14:schemeClr w14:val="tx1"/>
            </w14:solidFill>
          </w14:textFill>
        </w:rPr>
        <w:t>：主机预留拓展三轴向手传振动功能（支持后期选配），提供相关功能照片</w:t>
      </w:r>
    </w:p>
    <w:p w14:paraId="4EAAD3FD">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15.</w:t>
      </w:r>
      <w:r>
        <w:rPr>
          <w:rFonts w:hint="eastAsia" w:ascii="Times New Roman" w:hAnsi="Times New Roman" w:eastAsia="宋体" w:cs="Times New Roman"/>
          <w:color w:val="000000" w:themeColor="text1"/>
          <w:szCs w:val="21"/>
          <w:lang w:val="en-US" w:eastAsia="zh-CN"/>
          <w14:textFill>
            <w14:solidFill>
              <w14:schemeClr w14:val="tx1"/>
            </w14:solidFill>
          </w14:textFill>
        </w:rPr>
        <w:t>设备应配置</w:t>
      </w:r>
      <w:r>
        <w:rPr>
          <w:rFonts w:hint="default" w:ascii="Times New Roman" w:hAnsi="Times New Roman" w:eastAsia="宋体" w:cs="Times New Roman"/>
          <w:color w:val="000000" w:themeColor="text1"/>
          <w:szCs w:val="21"/>
          <w:lang w:val="en-US" w:eastAsia="zh-CN"/>
          <w14:textFill>
            <w14:solidFill>
              <w14:schemeClr w14:val="tx1"/>
            </w14:solidFill>
          </w14:textFill>
        </w:rPr>
        <w:t>个人声暴露计2级、防爆型、时序图、智能移动终端APP。</w:t>
      </w:r>
    </w:p>
    <w:p w14:paraId="41753FF6">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16.具备噪声峰度测量功能</w:t>
      </w:r>
    </w:p>
    <w:p w14:paraId="622C37A2">
      <w:pPr>
        <w:numPr>
          <w:ilvl w:val="0"/>
          <w:numId w:val="0"/>
        </w:numPr>
        <w:spacing w:line="276" w:lineRule="auto"/>
        <w:ind w:left="-141" w:leftChars="-67" w:firstLine="0" w:firstLineChars="0"/>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三、</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商务要求</w:t>
      </w:r>
    </w:p>
    <w:p w14:paraId="0E1E6E89">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1、中标人必须按项目进度安排计划，派出适当的技术人员到安装现场负责免费安装和调试工作。在安装施工期间，严格遵守用户方的有关规定。</w:t>
      </w:r>
    </w:p>
    <w:p w14:paraId="6B852158">
      <w:p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2、安装验收期间，在招标人所在地对招标人进行仪器操作、日常维护、所有检测指标的现场培训，2年内须提供不少于每年1次的上门免费培训服务。培训所需全部费用均已包含在投标报价中。</w:t>
      </w:r>
    </w:p>
    <w:p w14:paraId="3679C2B4">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3、中标人应将关键主机设备的用户手册、保修手册、有关单证资料及配备件、随机工具等交付给采购人，使用操作及安全须知等重要资料应附有中文说明。</w:t>
      </w:r>
    </w:p>
    <w:p w14:paraId="5FFFF82D">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4、招标人按照采购合同规定的技术、服务、安全标准组织对中标人履约情况进行验收，并出具验收书。验收书应当包括每一项技术、服务、安全标准的履约情况。</w:t>
      </w:r>
    </w:p>
    <w:p w14:paraId="5B7A8A69">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5、交付验收标准依次序对照适用标准为：①符合中华人民共和国“国家安全质量标准、环保标准或行业标准；”②符合招标文件和响应承诺中招标人认可的合理最佳配置、参数及各项要求；③货物来源国官方标准。货物为原厂商未启封全新包装，具出厂合格证，序列号、包装箱号与出厂批号一致，并可追溯查阅。所有随设备的附件必须齐全。</w:t>
      </w:r>
    </w:p>
    <w:p w14:paraId="65107C54">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6、中标人将货物的用户手册、保修手册、有关单证资料及备品备件、随机工具等交付给招标人，使用操作及安全须知等重要资料应附有中文说明。货物验收所发生的检验费用由中标人负担。</w:t>
      </w:r>
    </w:p>
    <w:p w14:paraId="4127D9D3">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8、中标人负责设备的供货、安装调试、验收，经招标人验收合格方可。</w:t>
      </w:r>
      <w:r>
        <w:rPr>
          <w:rFonts w:hint="eastAsia" w:ascii="Times New Roman" w:hAnsi="Times New Roman" w:eastAsia="宋体" w:cs="Times New Roman"/>
          <w:bCs/>
          <w:color w:val="000000" w:themeColor="text1"/>
          <w:kern w:val="0"/>
          <w:sz w:val="21"/>
          <w:szCs w:val="21"/>
          <w:highlight w:val="yellow"/>
          <w:lang w:val="en-US" w:eastAsia="zh-CN" w:bidi="ar-SA"/>
          <w14:textFill>
            <w14:solidFill>
              <w14:schemeClr w14:val="tx1"/>
            </w14:solidFill>
          </w14:textFill>
        </w:rPr>
        <w:t>质量保证期不少于 1 年</w:t>
      </w: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自招标人和中标人代表在货物安装调试验收后的验收书上签字之日起计算。“技术要求”中另有要求的，以其中的要求为准。质保期内由原设备生产厂家授权的总代理或者原设备生产厂家对所供货物实行包修、包换、包退、包维护保养，质保期后设备维修配件更换只收取成本费用。须提供由原设备生产厂家授权的总代理或者原设备生产厂家针对本项目出具的售后服务承诺书。</w:t>
      </w:r>
    </w:p>
    <w:p w14:paraId="09294AA5">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9、对招标人的服务通知，中标人在接报后 24 小时内响应， 48 小时内到达现场， 72 小时内处理完毕。若在 72 小时内仍未能有效解决，则自取走故障件之日起，3个工作日内提供备品以保证业务正常开展，若无法按时修复或如期提供备品造成停机，则按1:2延长保修期(即停机1天，延长保修期2天，如停用时间累计超过60天则保修期重新计算。)，若完全不能修复则由中标人免费更换同款整机。</w:t>
      </w:r>
    </w:p>
    <w:p w14:paraId="75A640C1">
      <w:pPr>
        <w:numPr>
          <w:ilvl w:val="0"/>
          <w:numId w:val="0"/>
        </w:numPr>
        <w:spacing w:line="276" w:lineRule="auto"/>
        <w:ind w:leftChars="-67"/>
        <w:jc w:val="left"/>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p>
    <w:p w14:paraId="0BC39782">
      <w:pPr>
        <w:rPr>
          <w:rFonts w:hint="default" w:ascii="宋体" w:hAnsi="宋体" w:eastAsia="宋体" w:cs="宋体"/>
          <w:i w:val="0"/>
          <w:color w:val="000000"/>
          <w:kern w:val="0"/>
          <w:sz w:val="21"/>
          <w:szCs w:val="21"/>
          <w:highlight w:val="none"/>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C76"/>
    <w:rsid w:val="000013B3"/>
    <w:rsid w:val="00004425"/>
    <w:rsid w:val="000156B4"/>
    <w:rsid w:val="00020478"/>
    <w:rsid w:val="000214E4"/>
    <w:rsid w:val="0004574A"/>
    <w:rsid w:val="00051F24"/>
    <w:rsid w:val="00054CF9"/>
    <w:rsid w:val="00081250"/>
    <w:rsid w:val="000A3F88"/>
    <w:rsid w:val="000B5F70"/>
    <w:rsid w:val="000B7574"/>
    <w:rsid w:val="000C2093"/>
    <w:rsid w:val="000E295A"/>
    <w:rsid w:val="000E3842"/>
    <w:rsid w:val="000F2121"/>
    <w:rsid w:val="000F793C"/>
    <w:rsid w:val="00100234"/>
    <w:rsid w:val="00107683"/>
    <w:rsid w:val="001216CD"/>
    <w:rsid w:val="00126162"/>
    <w:rsid w:val="001366A5"/>
    <w:rsid w:val="00136AF7"/>
    <w:rsid w:val="00142A18"/>
    <w:rsid w:val="0014407F"/>
    <w:rsid w:val="00176A03"/>
    <w:rsid w:val="0018453A"/>
    <w:rsid w:val="0018488F"/>
    <w:rsid w:val="001A034F"/>
    <w:rsid w:val="001C4EA4"/>
    <w:rsid w:val="001D08FE"/>
    <w:rsid w:val="001D5A73"/>
    <w:rsid w:val="001D6057"/>
    <w:rsid w:val="001F344F"/>
    <w:rsid w:val="001F3C73"/>
    <w:rsid w:val="001F3F88"/>
    <w:rsid w:val="001F6F6C"/>
    <w:rsid w:val="00207680"/>
    <w:rsid w:val="0021252E"/>
    <w:rsid w:val="00232752"/>
    <w:rsid w:val="0023488E"/>
    <w:rsid w:val="00236B53"/>
    <w:rsid w:val="00237C14"/>
    <w:rsid w:val="00244FE1"/>
    <w:rsid w:val="0025060F"/>
    <w:rsid w:val="00251F27"/>
    <w:rsid w:val="002646AA"/>
    <w:rsid w:val="00274644"/>
    <w:rsid w:val="002757C5"/>
    <w:rsid w:val="00276757"/>
    <w:rsid w:val="0028498F"/>
    <w:rsid w:val="0029604A"/>
    <w:rsid w:val="002A7719"/>
    <w:rsid w:val="002B6096"/>
    <w:rsid w:val="002C5223"/>
    <w:rsid w:val="002E08C8"/>
    <w:rsid w:val="002E1324"/>
    <w:rsid w:val="002E3FFF"/>
    <w:rsid w:val="002F71A2"/>
    <w:rsid w:val="002F74A6"/>
    <w:rsid w:val="003007ED"/>
    <w:rsid w:val="00312453"/>
    <w:rsid w:val="003146AE"/>
    <w:rsid w:val="003301D5"/>
    <w:rsid w:val="003328EA"/>
    <w:rsid w:val="00337BF2"/>
    <w:rsid w:val="003548B2"/>
    <w:rsid w:val="0035719F"/>
    <w:rsid w:val="00366108"/>
    <w:rsid w:val="0037270A"/>
    <w:rsid w:val="00374DFB"/>
    <w:rsid w:val="00385A1B"/>
    <w:rsid w:val="003955FF"/>
    <w:rsid w:val="003A3A27"/>
    <w:rsid w:val="003A56E1"/>
    <w:rsid w:val="003C248D"/>
    <w:rsid w:val="003E183D"/>
    <w:rsid w:val="003E67F3"/>
    <w:rsid w:val="003F29D2"/>
    <w:rsid w:val="003F4FCD"/>
    <w:rsid w:val="00416356"/>
    <w:rsid w:val="00423804"/>
    <w:rsid w:val="00425254"/>
    <w:rsid w:val="00425989"/>
    <w:rsid w:val="00427A35"/>
    <w:rsid w:val="00435B67"/>
    <w:rsid w:val="004404F3"/>
    <w:rsid w:val="00443B9C"/>
    <w:rsid w:val="00450999"/>
    <w:rsid w:val="0045454C"/>
    <w:rsid w:val="00476864"/>
    <w:rsid w:val="00486BDF"/>
    <w:rsid w:val="004C0DB0"/>
    <w:rsid w:val="004D77B5"/>
    <w:rsid w:val="004F6FAC"/>
    <w:rsid w:val="00502C19"/>
    <w:rsid w:val="00516389"/>
    <w:rsid w:val="00520F19"/>
    <w:rsid w:val="00536404"/>
    <w:rsid w:val="005655EB"/>
    <w:rsid w:val="00574697"/>
    <w:rsid w:val="00582878"/>
    <w:rsid w:val="0058713F"/>
    <w:rsid w:val="005D0447"/>
    <w:rsid w:val="005D0D12"/>
    <w:rsid w:val="005D4D36"/>
    <w:rsid w:val="005D7236"/>
    <w:rsid w:val="005D7CAC"/>
    <w:rsid w:val="005E49C2"/>
    <w:rsid w:val="006078C6"/>
    <w:rsid w:val="00627384"/>
    <w:rsid w:val="0062761A"/>
    <w:rsid w:val="00627FA8"/>
    <w:rsid w:val="0065606C"/>
    <w:rsid w:val="00661222"/>
    <w:rsid w:val="00661CFB"/>
    <w:rsid w:val="006620A1"/>
    <w:rsid w:val="00680AD4"/>
    <w:rsid w:val="00685D4C"/>
    <w:rsid w:val="006918CF"/>
    <w:rsid w:val="006A2665"/>
    <w:rsid w:val="006B6AE4"/>
    <w:rsid w:val="006C63B9"/>
    <w:rsid w:val="006E6AB5"/>
    <w:rsid w:val="006F4CC7"/>
    <w:rsid w:val="00707B26"/>
    <w:rsid w:val="00727861"/>
    <w:rsid w:val="00732759"/>
    <w:rsid w:val="007331D2"/>
    <w:rsid w:val="00737192"/>
    <w:rsid w:val="00740E1A"/>
    <w:rsid w:val="0075298D"/>
    <w:rsid w:val="00781287"/>
    <w:rsid w:val="00790C8C"/>
    <w:rsid w:val="00795A4E"/>
    <w:rsid w:val="007B47B7"/>
    <w:rsid w:val="007C002E"/>
    <w:rsid w:val="007C4A19"/>
    <w:rsid w:val="007C7182"/>
    <w:rsid w:val="007E51C6"/>
    <w:rsid w:val="0080286E"/>
    <w:rsid w:val="008173C7"/>
    <w:rsid w:val="00821C95"/>
    <w:rsid w:val="00834148"/>
    <w:rsid w:val="00846189"/>
    <w:rsid w:val="00847D52"/>
    <w:rsid w:val="0086227F"/>
    <w:rsid w:val="00867DF5"/>
    <w:rsid w:val="00870932"/>
    <w:rsid w:val="00875540"/>
    <w:rsid w:val="00884E7A"/>
    <w:rsid w:val="00890C37"/>
    <w:rsid w:val="00894DEA"/>
    <w:rsid w:val="008A21E8"/>
    <w:rsid w:val="008A7B23"/>
    <w:rsid w:val="008B0723"/>
    <w:rsid w:val="008B1EBD"/>
    <w:rsid w:val="008B7C2C"/>
    <w:rsid w:val="008C7306"/>
    <w:rsid w:val="008D3018"/>
    <w:rsid w:val="008E5615"/>
    <w:rsid w:val="008E63EC"/>
    <w:rsid w:val="008E6FF2"/>
    <w:rsid w:val="008F36A6"/>
    <w:rsid w:val="008F3E78"/>
    <w:rsid w:val="00907E0F"/>
    <w:rsid w:val="009216EB"/>
    <w:rsid w:val="00921F27"/>
    <w:rsid w:val="009263FD"/>
    <w:rsid w:val="0094246B"/>
    <w:rsid w:val="0094769D"/>
    <w:rsid w:val="00955935"/>
    <w:rsid w:val="009566C1"/>
    <w:rsid w:val="00957B58"/>
    <w:rsid w:val="00960782"/>
    <w:rsid w:val="00963D27"/>
    <w:rsid w:val="00981C96"/>
    <w:rsid w:val="00994CE6"/>
    <w:rsid w:val="009A6EBB"/>
    <w:rsid w:val="009B54C3"/>
    <w:rsid w:val="009B7133"/>
    <w:rsid w:val="009B787E"/>
    <w:rsid w:val="009C36D2"/>
    <w:rsid w:val="009D03EB"/>
    <w:rsid w:val="009D250F"/>
    <w:rsid w:val="009D5B6B"/>
    <w:rsid w:val="009E055B"/>
    <w:rsid w:val="009E71C8"/>
    <w:rsid w:val="009F2D58"/>
    <w:rsid w:val="009F4392"/>
    <w:rsid w:val="00A041D1"/>
    <w:rsid w:val="00A11988"/>
    <w:rsid w:val="00A273C6"/>
    <w:rsid w:val="00A325AB"/>
    <w:rsid w:val="00A46032"/>
    <w:rsid w:val="00A46238"/>
    <w:rsid w:val="00A52C76"/>
    <w:rsid w:val="00A61A89"/>
    <w:rsid w:val="00A625FF"/>
    <w:rsid w:val="00A808D9"/>
    <w:rsid w:val="00A84B72"/>
    <w:rsid w:val="00A8640F"/>
    <w:rsid w:val="00A915AC"/>
    <w:rsid w:val="00AA33E9"/>
    <w:rsid w:val="00AD0D9D"/>
    <w:rsid w:val="00AD1975"/>
    <w:rsid w:val="00AD2B0A"/>
    <w:rsid w:val="00AD7478"/>
    <w:rsid w:val="00AF066B"/>
    <w:rsid w:val="00AF1803"/>
    <w:rsid w:val="00AF5327"/>
    <w:rsid w:val="00AF5F9F"/>
    <w:rsid w:val="00B05533"/>
    <w:rsid w:val="00B24EF3"/>
    <w:rsid w:val="00B336BD"/>
    <w:rsid w:val="00B5031B"/>
    <w:rsid w:val="00B50DAB"/>
    <w:rsid w:val="00B57B28"/>
    <w:rsid w:val="00B60365"/>
    <w:rsid w:val="00B76E47"/>
    <w:rsid w:val="00B82B42"/>
    <w:rsid w:val="00B8347A"/>
    <w:rsid w:val="00B90E07"/>
    <w:rsid w:val="00BA7785"/>
    <w:rsid w:val="00BB1540"/>
    <w:rsid w:val="00BC715F"/>
    <w:rsid w:val="00BE5D20"/>
    <w:rsid w:val="00BE723E"/>
    <w:rsid w:val="00BF04CB"/>
    <w:rsid w:val="00BF19BC"/>
    <w:rsid w:val="00C0148D"/>
    <w:rsid w:val="00C01650"/>
    <w:rsid w:val="00C02DD7"/>
    <w:rsid w:val="00C04AD8"/>
    <w:rsid w:val="00C07BCC"/>
    <w:rsid w:val="00C179AB"/>
    <w:rsid w:val="00C34EAD"/>
    <w:rsid w:val="00C402D4"/>
    <w:rsid w:val="00C438CE"/>
    <w:rsid w:val="00C4599B"/>
    <w:rsid w:val="00C5324D"/>
    <w:rsid w:val="00C677FE"/>
    <w:rsid w:val="00C7071E"/>
    <w:rsid w:val="00C72056"/>
    <w:rsid w:val="00C86088"/>
    <w:rsid w:val="00C9169B"/>
    <w:rsid w:val="00CA280D"/>
    <w:rsid w:val="00CA2DF1"/>
    <w:rsid w:val="00CB67EB"/>
    <w:rsid w:val="00CD49AF"/>
    <w:rsid w:val="00CF24AA"/>
    <w:rsid w:val="00CF7BB0"/>
    <w:rsid w:val="00D04D52"/>
    <w:rsid w:val="00D15F66"/>
    <w:rsid w:val="00D24F07"/>
    <w:rsid w:val="00D24F30"/>
    <w:rsid w:val="00D32441"/>
    <w:rsid w:val="00D36C17"/>
    <w:rsid w:val="00D405FB"/>
    <w:rsid w:val="00D533AC"/>
    <w:rsid w:val="00D70C72"/>
    <w:rsid w:val="00D74088"/>
    <w:rsid w:val="00D757CB"/>
    <w:rsid w:val="00D76231"/>
    <w:rsid w:val="00D810F9"/>
    <w:rsid w:val="00D8191C"/>
    <w:rsid w:val="00D906F5"/>
    <w:rsid w:val="00D9250A"/>
    <w:rsid w:val="00DA58C2"/>
    <w:rsid w:val="00DB4E07"/>
    <w:rsid w:val="00DC16AF"/>
    <w:rsid w:val="00DD61FF"/>
    <w:rsid w:val="00DD7819"/>
    <w:rsid w:val="00DF1D66"/>
    <w:rsid w:val="00DF47B2"/>
    <w:rsid w:val="00E00133"/>
    <w:rsid w:val="00E00522"/>
    <w:rsid w:val="00E13A16"/>
    <w:rsid w:val="00E32C8E"/>
    <w:rsid w:val="00E402C8"/>
    <w:rsid w:val="00E53740"/>
    <w:rsid w:val="00E62300"/>
    <w:rsid w:val="00E719B0"/>
    <w:rsid w:val="00E80960"/>
    <w:rsid w:val="00E82D0F"/>
    <w:rsid w:val="00E831A9"/>
    <w:rsid w:val="00E93D32"/>
    <w:rsid w:val="00EA5EA0"/>
    <w:rsid w:val="00EB4781"/>
    <w:rsid w:val="00EC7D3F"/>
    <w:rsid w:val="00ED5C15"/>
    <w:rsid w:val="00EE5338"/>
    <w:rsid w:val="00EF3368"/>
    <w:rsid w:val="00F01D12"/>
    <w:rsid w:val="00F11C6A"/>
    <w:rsid w:val="00F2078C"/>
    <w:rsid w:val="00F2455D"/>
    <w:rsid w:val="00F26165"/>
    <w:rsid w:val="00F8306E"/>
    <w:rsid w:val="00F8413C"/>
    <w:rsid w:val="00FA6659"/>
    <w:rsid w:val="00FD5457"/>
    <w:rsid w:val="00FE7DDD"/>
    <w:rsid w:val="00FF6943"/>
    <w:rsid w:val="02B74AE0"/>
    <w:rsid w:val="07F35D01"/>
    <w:rsid w:val="08913DD7"/>
    <w:rsid w:val="0E7C1C73"/>
    <w:rsid w:val="11D90DF0"/>
    <w:rsid w:val="19EC18F2"/>
    <w:rsid w:val="1AB95609"/>
    <w:rsid w:val="1F7E65C1"/>
    <w:rsid w:val="28DC5109"/>
    <w:rsid w:val="31976EA7"/>
    <w:rsid w:val="32602E48"/>
    <w:rsid w:val="32863A70"/>
    <w:rsid w:val="3FF7496E"/>
    <w:rsid w:val="556B6156"/>
    <w:rsid w:val="5C501E2C"/>
    <w:rsid w:val="5DAF1AA8"/>
    <w:rsid w:val="672600C8"/>
    <w:rsid w:val="6A4C43CD"/>
    <w:rsid w:val="6C180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keepLines/>
      <w:spacing w:line="360" w:lineRule="auto"/>
      <w:outlineLvl w:val="3"/>
    </w:pPr>
    <w:rPr>
      <w:rFonts w:eastAsia="Times New Roman" w:asciiTheme="majorHAnsi" w:hAnsiTheme="majorHAnsi" w:cstheme="majorBidi"/>
      <w:bCs/>
      <w:sz w:val="24"/>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next w:val="1"/>
    <w:qFormat/>
    <w:uiPriority w:val="0"/>
    <w:rPr>
      <w:sz w:val="24"/>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paragraph" w:styleId="11">
    <w:name w:val="List Paragraph"/>
    <w:basedOn w:val="1"/>
    <w:qFormat/>
    <w:uiPriority w:val="34"/>
    <w:pPr>
      <w:ind w:firstLine="420" w:firstLineChars="200"/>
    </w:p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3019</Words>
  <Characters>3515</Characters>
  <Lines>13</Lines>
  <Paragraphs>3</Paragraphs>
  <TotalTime>67</TotalTime>
  <ScaleCrop>false</ScaleCrop>
  <LinksUpToDate>false</LinksUpToDate>
  <CharactersWithSpaces>3639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2024-04-17T08:11:00Z</dcterms:created>
  <dc:creator>Yu, Jiajie</dc:creator>
  <cp:lastModifiedBy>谭绍东</cp:lastModifiedBy>
  <dcterms:modified xsi:type="dcterms:W3CDTF">2026-06-05T03:56:18Z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eyJoZGlkIjoiMzk2MjIzMTc2YTQ5NDJkZmM4OWUxMTRkNTE3NzI1NjgiLCJ1c2VySWQiOiIxNzY2NDM2NzM5In0=</vt:lpwstr>
  </property>
  <property fmtid="{D5CDD505-2E9C-101B-9397-08002B2CF9AE}" pid="4" name="ICV">
    <vt:lpwstr>75CC061F7B9344FAA5C8AF43BDE941F7_13</vt:lpwstr>
  </property>
</Properties>
</file>