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w:t>
      </w:r>
      <w: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t>净气型化学品储存柜</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2台 限价4.8万元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default" w:ascii="宋体" w:hAnsi="宋体" w:eastAsia="宋体"/>
          <w:szCs w:val="21"/>
          <w:highlight w:val="none"/>
          <w:lang w:val="en-US" w:eastAsia="zh-CN"/>
        </w:rPr>
        <w:t>净气型化学品储存柜</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数量：2台</w:t>
      </w:r>
    </w:p>
    <w:p w14:paraId="1449B61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货期：签订合同45天月内</w:t>
      </w:r>
    </w:p>
    <w:p w14:paraId="115D049A">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2EDF384F">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1.系统要求：</w:t>
      </w:r>
    </w:p>
    <w:p w14:paraId="0CECE172">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1.1用于存储液体及固体化学试剂过程中的有害物质的过滤，24小时净化室内空气，对实验人员提供有效的安全防护。采用灵活的模块化系统，针对液体,粉尘,液体与粉尘混合以及洁净室应用,可配置单层活性炭,双层活性炭及活性炭与HEPA组合型过滤器，经过过滤后，洁净的空气在室内循环，有效保护了实验室及实验人员的安全。</w:t>
      </w:r>
    </w:p>
    <w:p w14:paraId="62E385E5">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2.技术指标：</w:t>
      </w:r>
    </w:p>
    <w:p w14:paraId="3D9C276A">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▲2.1所投产品的生产厂家需达到国家安全生产标准化三级企业要求；（提供</w:t>
      </w:r>
      <w:r>
        <w:rPr>
          <w:rFonts w:hint="eastAsia" w:ascii="宋体" w:hAnsi="宋体" w:eastAsia="宋体" w:cs="宋体"/>
          <w:kern w:val="0"/>
          <w:sz w:val="21"/>
          <w:szCs w:val="21"/>
          <w:lang w:val="en-US" w:eastAsia="zh-CN"/>
        </w:rPr>
        <w:t>相关证明材料</w:t>
      </w:r>
      <w:r>
        <w:rPr>
          <w:rFonts w:hint="eastAsia" w:ascii="宋体" w:hAnsi="宋体" w:eastAsia="宋体" w:cs="宋体"/>
          <w:kern w:val="0"/>
          <w:sz w:val="21"/>
          <w:szCs w:val="21"/>
        </w:rPr>
        <w:t>）</w:t>
      </w:r>
    </w:p>
    <w:p w14:paraId="749F3D36">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▲2.2过滤器活性炭碘吸附值符合GB/T12496.8-2015标准，碘吸附值≧1300mg/g。提供具有CMA认证的第三方机构出具的检测报告。</w:t>
      </w:r>
    </w:p>
    <w:p w14:paraId="10261E77">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▲2.3风机要求：风机箱须全PP注塑一体成型；可以很好地防止被腐蚀、防止漏电及降低噪音；</w:t>
      </w:r>
    </w:p>
    <w:p w14:paraId="778C86F2">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2.4柜体材质</w:t>
      </w:r>
    </w:p>
    <w:p w14:paraId="2294A1F7">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2.4.1全部采用双层构造；</w:t>
      </w:r>
    </w:p>
    <w:p w14:paraId="1952A105">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2.4.2柜身厚度</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1.0mm 的优质镀锌钢板经过高频焊接，使用寿命更长，稳固性更好；</w:t>
      </w:r>
    </w:p>
    <w:p w14:paraId="015EDF24">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2.4.3柜门厚度</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1.0mm 的优质镀锌钢板，独特设计,三点联动式门锁，双层门轻松自如启闭120度，柜门配双锁，实现双锁安全管理；</w:t>
      </w:r>
    </w:p>
    <w:p w14:paraId="1F1C98C4">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2.4.4  </w:t>
      </w:r>
      <w:r>
        <w:rPr>
          <w:rFonts w:hint="eastAsia" w:ascii="宋体" w:hAnsi="宋体" w:eastAsia="宋体" w:cs="宋体"/>
          <w:kern w:val="0"/>
          <w:sz w:val="21"/>
          <w:szCs w:val="21"/>
          <w:lang w:val="en-US" w:eastAsia="zh-CN"/>
        </w:rPr>
        <w:t>柜体＞</w:t>
      </w:r>
      <w:r>
        <w:rPr>
          <w:rFonts w:hint="eastAsia" w:ascii="宋体" w:hAnsi="宋体" w:eastAsia="宋体" w:cs="宋体"/>
          <w:kern w:val="0"/>
          <w:sz w:val="21"/>
          <w:szCs w:val="21"/>
        </w:rPr>
        <w:t>5cm高的防漏液槽使意外流出的液体不外溢；</w:t>
      </w:r>
    </w:p>
    <w:p w14:paraId="3989EEB7">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2.4.6配4件活动层板（可选配增加PP托盘），可上下自由调节；</w:t>
      </w:r>
    </w:p>
    <w:p w14:paraId="16385129">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2.4.7柜子内外环氧树脂静电喷涂处理;</w:t>
      </w:r>
    </w:p>
    <w:p w14:paraId="1C8980C0">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2.4.8柜身设有静电接地传导端口，方便连接静电接地导线;</w:t>
      </w:r>
    </w:p>
    <w:p w14:paraId="625248F6">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2.4.9柜底可配活动推轮，方便移动使用。</w:t>
      </w:r>
    </w:p>
    <w:p w14:paraId="149D6985">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2.5安全警报：智能化科技通过LED光带闪烁和报警声音次数来提醒：安全报警及在线监控信息系统：管理人员通过电脑或手机可远程实时监控净气型储药柜的运行状态，并具备更改设置、查看历史记录功能。如果设备出现异常将有LED光带闪烁和报警声光结合的形式提醒使用者;</w:t>
      </w:r>
    </w:p>
    <w:p w14:paraId="0CFE1ABE">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▲2.6过自动过滤器报警器Molecode S:针对有机类饱和检测；</w:t>
      </w:r>
    </w:p>
    <w:p w14:paraId="27A8C272">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2.7过滤器吸附容量列表:化学品手册列出的超过600种化学品过滤参数：在TWA的1%临界点，过滤器吸附该化学品的具体质量；</w:t>
      </w:r>
    </w:p>
    <w:p w14:paraId="0B733D55">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2.8外部尺寸（长×宽×高mm）：≥900×550×2000mm；</w:t>
      </w:r>
    </w:p>
    <w:p w14:paraId="72B4F047">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2.9储存容量：≥120瓶（每瓶500ml）</w:t>
      </w:r>
    </w:p>
    <w:p w14:paraId="2A620CBD">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2.10空气处理量：220 m 3 /h；</w:t>
      </w:r>
    </w:p>
    <w:p w14:paraId="2D31BAA3">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2.11电压/频率：适用电压：100-240V；内部电路：24V-DC/50-60 Hz；</w:t>
      </w:r>
    </w:p>
    <w:p w14:paraId="61BE6B64">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rPr>
        <w:t>▲2.12售后服务通过了国家质量监督检验检疫总局制定的国家标准:商品售后服务体系GB/T27922-2011，服务能力达到五星级，并持有专业证书;</w:t>
      </w: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相关证明材料</w:t>
      </w:r>
      <w:r>
        <w:rPr>
          <w:rFonts w:hint="eastAsia" w:ascii="宋体" w:hAnsi="宋体" w:eastAsia="宋体" w:cs="宋体"/>
          <w:kern w:val="0"/>
          <w:sz w:val="21"/>
          <w:szCs w:val="21"/>
          <w:highlight w:val="none"/>
        </w:rPr>
        <w:t>）</w:t>
      </w:r>
    </w:p>
    <w:p w14:paraId="4EB89178">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2.13为了保证产品质量，生产厂商须通过相关认证体系：包括ISO 9001-2008认证、ISO14001-2004环境管理体系；（提供</w:t>
      </w:r>
      <w:r>
        <w:rPr>
          <w:rFonts w:hint="eastAsia" w:ascii="宋体" w:hAnsi="宋体" w:eastAsia="宋体" w:cs="宋体"/>
          <w:kern w:val="0"/>
          <w:sz w:val="21"/>
          <w:szCs w:val="21"/>
          <w:highlight w:val="none"/>
          <w:lang w:val="en-US" w:eastAsia="zh-CN"/>
        </w:rPr>
        <w:t>相关证明材料</w:t>
      </w:r>
      <w:r>
        <w:rPr>
          <w:rFonts w:hint="eastAsia" w:ascii="宋体" w:hAnsi="宋体" w:eastAsia="宋体" w:cs="宋体"/>
          <w:kern w:val="0"/>
          <w:sz w:val="21"/>
          <w:szCs w:val="21"/>
          <w:highlight w:val="none"/>
        </w:rPr>
        <w:t>）</w:t>
      </w:r>
    </w:p>
    <w:p w14:paraId="1BC2E732">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▲2.14该产品用于存放化学品，涉及到消防安全，制造厂商对所生产产品须向保险机构投保产品责任险及公众责任险，保险赔偿限额不低于五百万人民币或等值外币。（提供</w:t>
      </w:r>
      <w:r>
        <w:rPr>
          <w:rFonts w:hint="eastAsia" w:ascii="宋体" w:hAnsi="宋体" w:eastAsia="宋体" w:cs="宋体"/>
          <w:kern w:val="0"/>
          <w:sz w:val="21"/>
          <w:szCs w:val="21"/>
          <w:highlight w:val="none"/>
          <w:lang w:val="en-US" w:eastAsia="zh-CN"/>
        </w:rPr>
        <w:t>相关证明材料</w:t>
      </w:r>
      <w:r>
        <w:rPr>
          <w:rFonts w:hint="eastAsia" w:ascii="宋体" w:hAnsi="宋体" w:eastAsia="宋体" w:cs="宋体"/>
          <w:kern w:val="0"/>
          <w:sz w:val="21"/>
          <w:szCs w:val="21"/>
          <w:highlight w:val="none"/>
        </w:rPr>
        <w:t>）</w:t>
      </w:r>
    </w:p>
    <w:p w14:paraId="6CA4E79A">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3.配置清单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包括但不限于</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p>
    <w:p w14:paraId="36BAA2A0">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3.1主柜体及机头模块1套</w:t>
      </w:r>
    </w:p>
    <w:p w14:paraId="490CF52E">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3.2无刷风机箱1套</w:t>
      </w:r>
    </w:p>
    <w:p w14:paraId="5941C0FA">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3.3 全镀锌钢制层板4块</w:t>
      </w:r>
    </w:p>
    <w:p w14:paraId="0BBA1DBF">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3.4对开式镀锌钢板门1付</w:t>
      </w:r>
    </w:p>
    <w:p w14:paraId="151188A0">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3.5钢制机械双锁，每把配备专用锁匙两根</w:t>
      </w:r>
    </w:p>
    <w:p w14:paraId="45A906DA">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3.6有机无机综合过滤器1套</w:t>
      </w:r>
    </w:p>
    <w:p w14:paraId="72FF4A69">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3.7电源线1条</w:t>
      </w:r>
    </w:p>
    <w:p w14:paraId="0B79D816">
      <w:pPr>
        <w:pStyle w:val="10"/>
        <w:keepNext w:val="0"/>
        <w:keepLines w:val="0"/>
        <w:pageBreakBefore w:val="0"/>
        <w:widowControl w:val="0"/>
        <w:numPr>
          <w:ilvl w:val="0"/>
          <w:numId w:val="0"/>
        </w:numPr>
        <w:kinsoku/>
        <w:wordWrap/>
        <w:overflowPunct/>
        <w:topLinePunct w:val="0"/>
        <w:autoSpaceDE/>
        <w:autoSpaceDN/>
        <w:bidi w:val="0"/>
        <w:adjustRightInd/>
        <w:spacing w:line="288" w:lineRule="auto"/>
        <w:ind w:leftChars="0"/>
        <w:contextualSpacing/>
        <w:textAlignment w:val="auto"/>
        <w:rPr>
          <w:rFonts w:hint="eastAsia" w:ascii="宋体" w:hAnsi="宋体" w:eastAsia="宋体" w:cs="宋体"/>
          <w:kern w:val="0"/>
          <w:sz w:val="21"/>
          <w:szCs w:val="21"/>
        </w:rPr>
      </w:pPr>
      <w:r>
        <w:rPr>
          <w:rFonts w:hint="eastAsia" w:ascii="宋体" w:hAnsi="宋体" w:eastAsia="宋体" w:cs="宋体"/>
          <w:kern w:val="0"/>
          <w:sz w:val="21"/>
          <w:szCs w:val="21"/>
        </w:rPr>
        <w:t>3.8相关说明书及配套软件各1套</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1127B99D">
      <w:pPr>
        <w:numPr>
          <w:ilvl w:val="0"/>
          <w:numId w:val="0"/>
        </w:numPr>
        <w:spacing w:line="276" w:lineRule="auto"/>
        <w:ind w:leftChars="-67"/>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2B41D39A">
      <w:pPr>
        <w:rPr>
          <w:rFonts w:hint="eastAsia"/>
          <w:lang w:val="en-US" w:eastAsia="zh-CN"/>
        </w:rPr>
      </w:pPr>
      <w:r>
        <w:rPr>
          <w:rFonts w:hint="eastAsia"/>
          <w:lang w:val="en-US" w:eastAsia="zh-CN"/>
        </w:rPr>
        <w:br w:type="page"/>
      </w:r>
    </w:p>
    <w:p w14:paraId="63BFDB60">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包二、防爆型四</w:t>
      </w:r>
      <w:bookmarkStart w:id="0" w:name="_GoBack"/>
      <w:bookmarkEnd w:id="0"/>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合一气体报警仪 １台 限价5.7万元</w:t>
      </w:r>
    </w:p>
    <w:p w14:paraId="6AECFB30">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07B72402">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名称：防爆型四合一气体报警仪</w:t>
      </w:r>
    </w:p>
    <w:p w14:paraId="6D618411">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数量：１套</w:t>
      </w:r>
    </w:p>
    <w:p w14:paraId="34589C4C">
      <w:pPr>
        <w:numPr>
          <w:ilvl w:val="0"/>
          <w:numId w:val="0"/>
        </w:numPr>
        <w:spacing w:line="276" w:lineRule="auto"/>
        <w:jc w:val="left"/>
        <w:rPr>
          <w:rFonts w:hint="default"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３</w:t>
      </w:r>
      <w:r>
        <w:rPr>
          <w:rFonts w:hint="default" w:ascii="Times New Roman" w:hAnsi="Times New Roman" w:eastAsia="宋体" w:cs="Times New Roman"/>
          <w:color w:val="000000" w:themeColor="text1"/>
          <w:szCs w:val="21"/>
          <w:highlight w:val="yellow"/>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仪器配套装置：仪器配套装置包括但不限于1台</w:t>
      </w:r>
      <w:r>
        <w:rPr>
          <w:rFonts w:hint="default" w:ascii="宋体" w:hAnsi="宋体" w:eastAsia="宋体"/>
          <w:szCs w:val="21"/>
          <w:highlight w:val="yellow"/>
          <w:lang w:val="en-US" w:eastAsia="zh-CN"/>
        </w:rPr>
        <w:t>环境气体综合分析仪</w:t>
      </w:r>
      <w:r>
        <w:rPr>
          <w:rFonts w:hint="eastAsia" w:ascii="宋体" w:hAnsi="宋体" w:eastAsia="宋体"/>
          <w:szCs w:val="21"/>
          <w:highlight w:val="yellow"/>
          <w:lang w:val="en-US" w:eastAsia="zh-CN"/>
        </w:rPr>
        <w:t>、1台便携式气体检测仪</w:t>
      </w:r>
    </w:p>
    <w:p w14:paraId="2AE009A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４</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货期：签订合同一个月内</w:t>
      </w:r>
    </w:p>
    <w:p w14:paraId="67F47DEC">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23C90A50">
      <w:pPr>
        <w:spacing w:line="276" w:lineRule="auto"/>
        <w:ind w:left="-141" w:leftChars="-67"/>
        <w:jc w:val="left"/>
        <w:rPr>
          <w:rFonts w:hint="default" w:ascii="Times New Roman" w:hAnsi="Times New Roman" w:eastAsia="宋体" w:cs="Times New Roman"/>
          <w:b/>
          <w:bCs/>
          <w:color w:val="FF0000"/>
          <w:sz w:val="24"/>
          <w:szCs w:val="24"/>
          <w:lang w:val="en-US" w:eastAsia="zh-CN"/>
        </w:rPr>
      </w:pPr>
      <w:r>
        <w:rPr>
          <w:rFonts w:hint="default" w:ascii="宋体" w:hAnsi="宋体" w:eastAsia="宋体"/>
          <w:color w:val="FF0000"/>
          <w:szCs w:val="21"/>
          <w:highlight w:val="none"/>
          <w:lang w:val="en-US" w:eastAsia="zh-CN"/>
        </w:rPr>
        <w:t>环境气体综合分析仪</w:t>
      </w:r>
      <w:r>
        <w:rPr>
          <w:rFonts w:hint="eastAsia" w:ascii="宋体" w:hAnsi="宋体" w:eastAsia="宋体"/>
          <w:color w:val="FF0000"/>
          <w:szCs w:val="21"/>
          <w:highlight w:val="none"/>
          <w:lang w:val="en-US" w:eastAsia="zh-CN"/>
        </w:rPr>
        <w:t>技术参数：</w:t>
      </w:r>
    </w:p>
    <w:p w14:paraId="0626938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★1、适用于常规、消防或易燃易爆等场合的应急检测、浓度超限报警等，可搭载无人机完成数据的采集、传输及显示。适用于大范围现场的快速检测及查找污染源等领域。</w:t>
      </w:r>
    </w:p>
    <w:p w14:paraId="08A295D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▲2、分体式设计，配备手操器（需提供实物照片等证明材料）</w:t>
      </w:r>
    </w:p>
    <w:p w14:paraId="76E8E10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★3、气体检测项目包含：氧气（O2）、硫化氢（H2S）、一氧化碳(CO)、甲烷（CH4）、苯（C6H6）</w:t>
      </w:r>
      <w:r>
        <w:rPr>
          <w:rFonts w:hint="eastAsia" w:ascii="宋体" w:hAnsi="宋体"/>
          <w:color w:val="auto"/>
          <w:szCs w:val="21"/>
          <w:highlight w:val="none"/>
          <w:lang w:val="en-US" w:eastAsia="zh-CN"/>
        </w:rPr>
        <w:t>、</w:t>
      </w:r>
      <w:r>
        <w:rPr>
          <w:rFonts w:hint="eastAsia" w:ascii="Times New Roman" w:hAnsi="Times New Roman"/>
          <w:color w:val="auto"/>
          <w:sz w:val="22"/>
          <w:highlight w:val="none"/>
        </w:rPr>
        <w:t>氨气</w:t>
      </w:r>
      <w:r>
        <w:rPr>
          <w:rFonts w:hint="eastAsia"/>
          <w:color w:val="auto"/>
          <w:sz w:val="22"/>
          <w:highlight w:val="none"/>
          <w:lang w:eastAsia="zh-CN"/>
        </w:rPr>
        <w:t>（</w:t>
      </w:r>
      <w:r>
        <w:rPr>
          <w:rFonts w:ascii="Times New Roman" w:hAnsi="Times New Roman"/>
          <w:color w:val="auto"/>
          <w:sz w:val="22"/>
          <w:highlight w:val="none"/>
        </w:rPr>
        <w:t>NH</w:t>
      </w:r>
      <w:r>
        <w:rPr>
          <w:rFonts w:ascii="Times New Roman" w:hAnsi="Times New Roman"/>
          <w:color w:val="auto"/>
          <w:sz w:val="22"/>
          <w:highlight w:val="none"/>
          <w:vertAlign w:val="subscript"/>
        </w:rPr>
        <w:t>3</w:t>
      </w:r>
      <w:r>
        <w:rPr>
          <w:rFonts w:hint="eastAsia"/>
          <w:color w:val="auto"/>
          <w:sz w:val="22"/>
          <w:highlight w:val="none"/>
          <w:lang w:eastAsia="zh-CN"/>
        </w:rPr>
        <w:t>）；</w:t>
      </w:r>
      <w:r>
        <w:rPr>
          <w:rFonts w:hint="eastAsia"/>
          <w:color w:val="auto"/>
          <w:sz w:val="22"/>
          <w:highlight w:val="none"/>
          <w:lang w:val="en-US" w:eastAsia="zh-CN"/>
        </w:rPr>
        <w:t>粉尘检测项目包含：</w:t>
      </w:r>
      <w:r>
        <w:rPr>
          <w:rFonts w:ascii="Times New Roman" w:hAnsi="Times New Roman"/>
          <w:color w:val="auto"/>
          <w:sz w:val="22"/>
          <w:highlight w:val="none"/>
        </w:rPr>
        <w:t>TSP</w:t>
      </w:r>
      <w:r>
        <w:rPr>
          <w:rFonts w:hint="eastAsia"/>
          <w:color w:val="auto"/>
          <w:sz w:val="22"/>
          <w:highlight w:val="none"/>
          <w:lang w:eastAsia="zh-CN"/>
        </w:rPr>
        <w:t>、</w:t>
      </w:r>
      <w:r>
        <w:rPr>
          <w:rFonts w:ascii="Times New Roman" w:hAnsi="Times New Roman"/>
          <w:color w:val="auto"/>
          <w:sz w:val="22"/>
          <w:highlight w:val="none"/>
        </w:rPr>
        <w:t>PM</w:t>
      </w:r>
      <w:r>
        <w:rPr>
          <w:rFonts w:ascii="Times New Roman" w:hAnsi="Times New Roman"/>
          <w:color w:val="auto"/>
          <w:highlight w:val="none"/>
        </w:rPr>
        <w:t>1</w:t>
      </w:r>
      <w:r>
        <w:rPr>
          <w:rFonts w:hint="eastAsia"/>
          <w:color w:val="auto"/>
          <w:highlight w:val="none"/>
          <w:lang w:val="en-US" w:eastAsia="zh-CN"/>
        </w:rPr>
        <w:t>.</w:t>
      </w:r>
      <w:r>
        <w:rPr>
          <w:rFonts w:ascii="Times New Roman" w:hAnsi="Times New Roman"/>
          <w:color w:val="auto"/>
          <w:highlight w:val="none"/>
        </w:rPr>
        <w:t>0</w:t>
      </w:r>
      <w:r>
        <w:rPr>
          <w:rFonts w:hint="eastAsia"/>
          <w:color w:val="auto"/>
          <w:highlight w:val="none"/>
          <w:lang w:eastAsia="zh-CN"/>
        </w:rPr>
        <w:t>、</w:t>
      </w:r>
      <w:r>
        <w:rPr>
          <w:rFonts w:ascii="Times New Roman" w:hAnsi="Times New Roman"/>
          <w:color w:val="auto"/>
          <w:sz w:val="22"/>
          <w:highlight w:val="none"/>
        </w:rPr>
        <w:t>PM</w:t>
      </w:r>
      <w:r>
        <w:rPr>
          <w:rFonts w:ascii="Times New Roman" w:hAnsi="Times New Roman"/>
          <w:color w:val="auto"/>
          <w:highlight w:val="none"/>
        </w:rPr>
        <w:t>2.5</w:t>
      </w:r>
    </w:p>
    <w:p w14:paraId="4D9FCF8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▲4、手操器与主机可以无线通讯</w:t>
      </w:r>
    </w:p>
    <w:p w14:paraId="519FF97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5、手操器具备高亮触摸屏，不低于5.0英寸</w:t>
      </w:r>
    </w:p>
    <w:p w14:paraId="1D62DCB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6、气体传感器模块化设计，气体传感器可选，数量不低于20种</w:t>
      </w:r>
    </w:p>
    <w:p w14:paraId="0C56BA8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7、气体模块之间为快接设计，无需手动拆卸螺丝进行连接（需提供实物照片等证明材料）</w:t>
      </w:r>
    </w:p>
    <w:p w14:paraId="77B7C5F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8、可快速开展检测工作，无需从箱包中取出</w:t>
      </w:r>
    </w:p>
    <w:p w14:paraId="4E4AF6E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9、大气压、环境温度、环境相对湿度可实时测量</w:t>
      </w:r>
    </w:p>
    <w:p w14:paraId="64DCF52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▲10、预留气象参数接口，可外接气象检测仪（需提供实物照片等证明材料）</w:t>
      </w:r>
    </w:p>
    <w:p w14:paraId="0D33241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11、主机内置锂电池，可连续工作不低于10小时，电池可更换</w:t>
      </w:r>
    </w:p>
    <w:p w14:paraId="70394E4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12、标准Type-C充电接口，支持交、直流两种供电方式</w:t>
      </w:r>
    </w:p>
    <w:p w14:paraId="1A27F5F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13、自带报警灯提示</w:t>
      </w:r>
    </w:p>
    <w:p w14:paraId="76E6D28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14、自带震动报警功能</w:t>
      </w:r>
    </w:p>
    <w:p w14:paraId="593F7F4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▲15、具备单北斗定位功能（需</w:t>
      </w:r>
      <w:r>
        <w:rPr>
          <w:rFonts w:hint="eastAsia" w:ascii="宋体" w:hAnsi="宋体" w:eastAsia="宋体"/>
          <w:szCs w:val="21"/>
          <w:highlight w:val="none"/>
          <w:lang w:val="en-US" w:eastAsia="zh-CN"/>
        </w:rPr>
        <w:t>提供相关证明材料</w:t>
      </w:r>
      <w:r>
        <w:rPr>
          <w:rFonts w:hint="default" w:ascii="宋体" w:hAnsi="宋体" w:eastAsia="宋体"/>
          <w:szCs w:val="21"/>
          <w:highlight w:val="none"/>
          <w:lang w:val="en-US" w:eastAsia="zh-CN"/>
        </w:rPr>
        <w:t>）</w:t>
      </w:r>
    </w:p>
    <w:p w14:paraId="0E0570F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16、手操器具有数据存储（最多能存储5000组数据，数据永久储存）及打印功能</w:t>
      </w:r>
    </w:p>
    <w:p w14:paraId="5E0A7EE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▲17、可搭载无人机进行走航检测</w:t>
      </w:r>
    </w:p>
    <w:p w14:paraId="4120326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▲18、防护等级不低于IP65（提供相应证书证明）</w:t>
      </w:r>
    </w:p>
    <w:p w14:paraId="444B85F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▲19、主机防爆等级不低于Ex d ib ⅡB T3 Gb（提供相应证书证明）</w:t>
      </w:r>
    </w:p>
    <w:p w14:paraId="7BFBAFB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▲20、为保证安全，需提供静电放电抗扰度检测报告</w:t>
      </w:r>
    </w:p>
    <w:p w14:paraId="539E3DE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▲21、最多可以安装21种气体传感器</w:t>
      </w:r>
    </w:p>
    <w:p w14:paraId="693828D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22、工作电源：内置锂电池(7.4V/3.4Ah)或外接5V/3.5A电源适配器；控制模块（7.4V/6.8Ah）或5V/3.5A电源适配器</w:t>
      </w:r>
    </w:p>
    <w:p w14:paraId="36367BB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23、智能显示终端：尺寸≤长220mm×宽125mm×高40mm ；重量≤650g</w:t>
      </w:r>
    </w:p>
    <w:p w14:paraId="7C83732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24、控制模块：尺寸≤长220mm×宽125mm×高60mm ；重量≤650g</w:t>
      </w:r>
    </w:p>
    <w:p w14:paraId="61F5B2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25、检测模块：尺寸≤长220mm×宽125mm×高50mm</w:t>
      </w:r>
      <w:r>
        <w:rPr>
          <w:rFonts w:hint="eastAsia" w:ascii="宋体" w:hAnsi="宋体"/>
          <w:szCs w:val="21"/>
          <w:highlight w:val="none"/>
          <w:lang w:val="en-US" w:eastAsia="zh-CN"/>
        </w:rPr>
        <w:t xml:space="preserve"> </w:t>
      </w:r>
      <w:r>
        <w:rPr>
          <w:rFonts w:hint="default" w:ascii="宋体" w:hAnsi="宋体" w:eastAsia="宋体"/>
          <w:szCs w:val="21"/>
          <w:highlight w:val="none"/>
          <w:lang w:val="en-US" w:eastAsia="zh-CN"/>
        </w:rPr>
        <w:t>；重量≤650g</w:t>
      </w:r>
    </w:p>
    <w:p w14:paraId="6ED51DC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26、传感器技术指标（</w:t>
      </w:r>
      <w:r>
        <w:rPr>
          <w:rFonts w:hint="eastAsia" w:ascii="宋体" w:hAnsi="宋体"/>
          <w:color w:val="000000" w:themeColor="text1"/>
          <w:szCs w:val="21"/>
          <w:highlight w:val="none"/>
          <w:lang w:val="en-US" w:eastAsia="zh-CN"/>
          <w14:textFill>
            <w14:solidFill>
              <w14:schemeClr w14:val="tx1"/>
            </w14:solidFill>
          </w14:textFill>
        </w:rPr>
        <w:t>包含的</w:t>
      </w:r>
      <w:r>
        <w:rPr>
          <w:rFonts w:hint="default" w:ascii="宋体" w:hAnsi="宋体" w:eastAsia="宋体"/>
          <w:color w:val="000000" w:themeColor="text1"/>
          <w:szCs w:val="21"/>
          <w:highlight w:val="none"/>
          <w:lang w:val="en-US" w:eastAsia="zh-CN"/>
          <w14:textFill>
            <w14:solidFill>
              <w14:schemeClr w14:val="tx1"/>
            </w14:solidFill>
          </w14:textFill>
        </w:rPr>
        <w:t>检测项目名称：参数范围、分辨率）</w:t>
      </w:r>
    </w:p>
    <w:p w14:paraId="4475C0F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26.1 氧气 ：（0～30）% 、0.01%</w:t>
      </w:r>
    </w:p>
    <w:p w14:paraId="47C0062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26.2 硫化氢：(0～200) umol/mol、0.1umol/mol</w:t>
      </w:r>
    </w:p>
    <w:p w14:paraId="78C6D20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26.3 一氧化碳：（0～1000）umol/mol、（0.1/0.01）umol/mol</w:t>
      </w:r>
    </w:p>
    <w:p w14:paraId="6499AA5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26.4 甲烷：（0～100）% LEL、0.01%LEL</w:t>
      </w:r>
    </w:p>
    <w:p w14:paraId="5B76BAD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26.5 苯：（0～20）umol/mol、0.001umol/mol</w:t>
      </w:r>
    </w:p>
    <w:p w14:paraId="682F8E8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26.6</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lang w:val="en-US" w:eastAsia="zh-CN"/>
          <w14:textFill>
            <w14:solidFill>
              <w14:schemeClr w14:val="tx1"/>
            </w14:solidFill>
          </w14:textFill>
        </w:rPr>
        <w:t>氨气：（0～100）umol/mol、</w:t>
      </w:r>
      <w:r>
        <w:rPr>
          <w:rFonts w:hint="default" w:ascii="宋体" w:hAnsi="宋体" w:eastAsia="宋体"/>
          <w:color w:val="000000" w:themeColor="text1"/>
          <w:szCs w:val="21"/>
          <w:highlight w:val="none"/>
          <w:lang w:val="en-US" w:eastAsia="zh-CN"/>
          <w14:textFill>
            <w14:solidFill>
              <w14:schemeClr w14:val="tx1"/>
            </w14:solidFill>
          </w14:textFill>
        </w:rPr>
        <w:t>0.01μmol/mol</w:t>
      </w:r>
    </w:p>
    <w:p w14:paraId="2EE5B0A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 xml:space="preserve">26.7 </w:t>
      </w:r>
      <w:r>
        <w:rPr>
          <w:rFonts w:hint="default" w:ascii="宋体" w:hAnsi="宋体" w:eastAsia="宋体"/>
          <w:color w:val="000000" w:themeColor="text1"/>
          <w:szCs w:val="21"/>
          <w:highlight w:val="none"/>
          <w:lang w:val="en-US" w:eastAsia="zh-CN"/>
          <w14:textFill>
            <w14:solidFill>
              <w14:schemeClr w14:val="tx1"/>
            </w14:solidFill>
          </w14:textFill>
        </w:rPr>
        <w:t>PM2.5</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default" w:ascii="宋体" w:hAnsi="宋体" w:eastAsia="宋体"/>
          <w:color w:val="000000" w:themeColor="text1"/>
          <w:szCs w:val="21"/>
          <w:highlight w:val="none"/>
          <w:lang w:val="en-US" w:eastAsia="zh-CN"/>
          <w14:textFill>
            <w14:solidFill>
              <w14:schemeClr w14:val="tx1"/>
            </w14:solidFill>
          </w14:textFill>
        </w:rPr>
        <w:t>（0～1000）μg/m3</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default" w:ascii="宋体" w:hAnsi="宋体" w:eastAsia="宋体"/>
          <w:color w:val="000000" w:themeColor="text1"/>
          <w:szCs w:val="21"/>
          <w:highlight w:val="none"/>
          <w:lang w:val="en-US" w:eastAsia="zh-CN"/>
          <w14:textFill>
            <w14:solidFill>
              <w14:schemeClr w14:val="tx1"/>
            </w14:solidFill>
          </w14:textFill>
        </w:rPr>
        <w:t>1μg/m3</w:t>
      </w:r>
    </w:p>
    <w:p w14:paraId="2CFD6A1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 xml:space="preserve">26.8 </w:t>
      </w:r>
      <w:r>
        <w:rPr>
          <w:rFonts w:hint="default" w:ascii="宋体" w:hAnsi="宋体" w:eastAsia="宋体"/>
          <w:color w:val="000000" w:themeColor="text1"/>
          <w:szCs w:val="21"/>
          <w:highlight w:val="none"/>
          <w:lang w:val="en-US" w:eastAsia="zh-CN"/>
          <w14:textFill>
            <w14:solidFill>
              <w14:schemeClr w14:val="tx1"/>
            </w14:solidFill>
          </w14:textFill>
        </w:rPr>
        <w:t>PM1</w:t>
      </w:r>
      <w:r>
        <w:rPr>
          <w:rFonts w:hint="eastAsia" w:ascii="宋体" w:hAnsi="宋体"/>
          <w:color w:val="000000" w:themeColor="text1"/>
          <w:szCs w:val="21"/>
          <w:highlight w:val="none"/>
          <w:lang w:val="en-US" w:eastAsia="zh-CN"/>
          <w14:textFill>
            <w14:solidFill>
              <w14:schemeClr w14:val="tx1"/>
            </w14:solidFill>
          </w14:textFill>
        </w:rPr>
        <w:t>.</w:t>
      </w:r>
      <w:r>
        <w:rPr>
          <w:rFonts w:hint="default" w:ascii="宋体" w:hAnsi="宋体" w:eastAsia="宋体"/>
          <w:color w:val="000000" w:themeColor="text1"/>
          <w:szCs w:val="21"/>
          <w:highlight w:val="none"/>
          <w:lang w:val="en-US" w:eastAsia="zh-CN"/>
          <w14:textFill>
            <w14:solidFill>
              <w14:schemeClr w14:val="tx1"/>
            </w14:solidFill>
          </w14:textFill>
        </w:rPr>
        <w:t>0</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default" w:ascii="宋体" w:hAnsi="宋体" w:eastAsia="宋体"/>
          <w:color w:val="000000" w:themeColor="text1"/>
          <w:szCs w:val="21"/>
          <w:highlight w:val="none"/>
          <w:lang w:val="en-US" w:eastAsia="zh-CN"/>
          <w14:textFill>
            <w14:solidFill>
              <w14:schemeClr w14:val="tx1"/>
            </w14:solidFill>
          </w14:textFill>
        </w:rPr>
        <w:t>（0～1000）μg/m3</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default" w:ascii="宋体" w:hAnsi="宋体" w:eastAsia="宋体"/>
          <w:color w:val="000000" w:themeColor="text1"/>
          <w:szCs w:val="21"/>
          <w:highlight w:val="none"/>
          <w:lang w:val="en-US" w:eastAsia="zh-CN"/>
          <w14:textFill>
            <w14:solidFill>
              <w14:schemeClr w14:val="tx1"/>
            </w14:solidFill>
          </w14:textFill>
        </w:rPr>
        <w:t>1μg/m3</w:t>
      </w:r>
    </w:p>
    <w:p w14:paraId="3C15D7F2">
      <w:pPr>
        <w:pStyle w:val="2"/>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 xml:space="preserve">26.9 </w:t>
      </w:r>
      <w:r>
        <w:rPr>
          <w:rFonts w:hint="default" w:ascii="宋体" w:hAnsi="宋体" w:eastAsia="宋体"/>
          <w:color w:val="000000" w:themeColor="text1"/>
          <w:szCs w:val="21"/>
          <w:highlight w:val="none"/>
          <w:lang w:val="en-US" w:eastAsia="zh-CN"/>
          <w14:textFill>
            <w14:solidFill>
              <w14:schemeClr w14:val="tx1"/>
            </w14:solidFill>
          </w14:textFill>
        </w:rPr>
        <w:t>TSP</w:t>
      </w:r>
      <w:r>
        <w:rPr>
          <w:rFonts w:hint="eastAsia" w:ascii="宋体" w:hAnsi="宋体" w:eastAsia="宋体"/>
          <w:color w:val="000000" w:themeColor="text1"/>
          <w:szCs w:val="21"/>
          <w:highlight w:val="none"/>
          <w:lang w:val="en-US" w:eastAsia="zh-CN"/>
          <w14:textFill>
            <w14:solidFill>
              <w14:schemeClr w14:val="tx1"/>
            </w14:solidFill>
          </w14:textFill>
        </w:rPr>
        <w:t>：</w:t>
      </w:r>
      <w:r>
        <w:rPr>
          <w:rFonts w:hint="default" w:ascii="宋体" w:hAnsi="宋体" w:eastAsia="宋体"/>
          <w:color w:val="000000" w:themeColor="text1"/>
          <w:szCs w:val="21"/>
          <w:highlight w:val="none"/>
          <w:lang w:val="en-US" w:eastAsia="zh-CN"/>
          <w14:textFill>
            <w14:solidFill>
              <w14:schemeClr w14:val="tx1"/>
            </w14:solidFill>
          </w14:textFill>
        </w:rPr>
        <w:t>（0～1000）μg/m3</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default" w:ascii="宋体" w:hAnsi="宋体" w:eastAsia="宋体"/>
          <w:color w:val="000000" w:themeColor="text1"/>
          <w:szCs w:val="21"/>
          <w:highlight w:val="none"/>
          <w:lang w:val="en-US" w:eastAsia="zh-CN"/>
          <w14:textFill>
            <w14:solidFill>
              <w14:schemeClr w14:val="tx1"/>
            </w14:solidFill>
          </w14:textFill>
        </w:rPr>
        <w:t>1μg/m3</w:t>
      </w:r>
    </w:p>
    <w:p w14:paraId="5CC4EF15">
      <w:pPr>
        <w:rPr>
          <w:rFonts w:hint="default"/>
          <w:color w:val="FF0000"/>
          <w:lang w:val="en-US" w:eastAsia="zh-CN"/>
        </w:rPr>
      </w:pPr>
      <w:r>
        <w:rPr>
          <w:rFonts w:hint="eastAsia" w:ascii="宋体" w:hAnsi="宋体" w:eastAsia="宋体"/>
          <w:color w:val="FF0000"/>
          <w:szCs w:val="21"/>
          <w:highlight w:val="none"/>
          <w:lang w:val="en-US" w:eastAsia="zh-CN"/>
        </w:rPr>
        <w:t>便携式气体检测仪技术参数：</w:t>
      </w:r>
    </w:p>
    <w:p w14:paraId="2DF166D9">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内置泵吸式测量，可一键切换为扩散式测量。 </w:t>
      </w:r>
    </w:p>
    <w:p w14:paraId="446028AB">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2、仪器有</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泵堵塞报警</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功能</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 </w:t>
      </w:r>
    </w:p>
    <w:p w14:paraId="5528EC0B">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3、仪器有</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LED 照明。 </w:t>
      </w:r>
    </w:p>
    <w:p w14:paraId="29555840">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4、</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采用数字传感器，每个传感器可插拔、智能识别、即插即用，免标定，可插在任意传感器插槽位置。 </w:t>
      </w:r>
    </w:p>
    <w:p w14:paraId="15E88F40">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可通过仪表设置打开或关闭任意一个传感器。 </w:t>
      </w:r>
    </w:p>
    <w:p w14:paraId="495CA44F">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6、</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传感器缺失报警</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功能</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，传感器寿命到期预警。 </w:t>
      </w:r>
    </w:p>
    <w:p w14:paraId="62721908">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default" w:ascii="宋体" w:hAnsi="宋体" w:eastAsia="宋体"/>
          <w:szCs w:val="21"/>
          <w:highlight w:val="none"/>
          <w:lang w:val="en-US" w:eastAsia="zh-CN"/>
        </w:rPr>
        <w:t>▲</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7、仪器</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单位切换，单位可选：μmol/mol、ppm、pphm、ppb、mg/m3、μg/m3、%Vol、%LEL。 </w:t>
      </w:r>
    </w:p>
    <w:p w14:paraId="5B39A41F">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8、</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按键操作，快捷一键校准功能。 </w:t>
      </w:r>
    </w:p>
    <w:p w14:paraId="7B5811A8">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9、仪器屏幕不下于</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2.4 英寸高清彩屏。 </w:t>
      </w:r>
    </w:p>
    <w:p w14:paraId="5AEC188A">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10、</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数据存储，存储容量 100 万条以上，可选配大容量存储卡，存储数据大于 1000 万条。 </w:t>
      </w:r>
    </w:p>
    <w:p w14:paraId="4CF8E0E4">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11、仪器可与</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TYPE-C 快充与通讯。 </w:t>
      </w:r>
    </w:p>
    <w:p w14:paraId="275041E4">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12、仪器</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同时支持蓝牙、WIFI、LORA、MESH、4G、NB-IOT 等方式，具有信号强度显示；WIFI、4G 可支持 HTTP、MQTT、 TCP、UDP 等通讯协议。 </w:t>
      </w:r>
    </w:p>
    <w:p w14:paraId="67749430">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default" w:ascii="宋体" w:hAnsi="宋体" w:eastAsia="宋体"/>
          <w:szCs w:val="21"/>
          <w:highlight w:val="none"/>
          <w:lang w:val="en-US" w:eastAsia="zh-CN"/>
        </w:rPr>
        <w:t>▲</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13、仪器</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支持远程维护及远程升级。 </w:t>
      </w:r>
    </w:p>
    <w:p w14:paraId="7DDD0430">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14、仪器支持</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跌倒报警。 SOS 一键呼救（运动报警，主动呼救），懒人钟功能。 </w:t>
      </w:r>
    </w:p>
    <w:p w14:paraId="5F92B89F">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default" w:ascii="宋体" w:hAnsi="宋体" w:eastAsia="宋体"/>
          <w:szCs w:val="21"/>
          <w:highlight w:val="none"/>
          <w:lang w:val="en-US" w:eastAsia="zh-CN"/>
        </w:rPr>
        <w:t>▲</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15、</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数据恢复功能，部分或全部恢复出厂数据。 </w:t>
      </w:r>
    </w:p>
    <w:p w14:paraId="463D9DEE">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16、</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内置气体库（可燃、VOC、有毒气体）。 </w:t>
      </w:r>
    </w:p>
    <w:p w14:paraId="60D2CFA5">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17、</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最大值、最小值、加权平均值显示，实时曲线、条形图、列表显示。 </w:t>
      </w:r>
    </w:p>
    <w:p w14:paraId="7B0AB03E">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18、</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多种报警音可选，报警音可分别独立设置，报警音量大于 95dB，30 厘米。 </w:t>
      </w:r>
    </w:p>
    <w:p w14:paraId="5A6853AE">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19、</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多种报警方式报警模式，多个报警点设置，可关闭报警。 </w:t>
      </w:r>
    </w:p>
    <w:p w14:paraId="211887F3">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20</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报警方式：声光报警、震动报警、语音报警。 报警种类：浓度报警、欠压报警、故障报警、泵堵塞报警、跌倒报警、SOS 报警（运动报警）。 报警模式：低报警、高报警、区间报警、TWA/STEL 报警。 </w:t>
      </w:r>
    </w:p>
    <w:p w14:paraId="3700E7A1">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21、仪器有</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误操作识别</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零点自动跟踪。 目标点多级校准功能。 </w:t>
      </w:r>
    </w:p>
    <w:p w14:paraId="13D60CF1">
      <w:pPr>
        <w:keepNext w:val="0"/>
        <w:keepLines w:val="0"/>
        <w:widowControl w:val="0"/>
        <w:numPr>
          <w:ilvl w:val="0"/>
          <w:numId w:val="0"/>
        </w:numPr>
        <w:suppressLineNumbers w:val="0"/>
        <w:spacing w:line="288"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22、</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本安电路设计，防爆、防振、抗静电，抗辐射。 </w:t>
      </w:r>
    </w:p>
    <w:p w14:paraId="79764C8D">
      <w:pPr>
        <w:numPr>
          <w:ilvl w:val="0"/>
          <w:numId w:val="0"/>
        </w:numPr>
        <w:spacing w:line="288" w:lineRule="auto"/>
        <w:rPr>
          <w:rFonts w:hint="eastAsia" w:ascii="宋体" w:hAnsi="宋体"/>
          <w:color w:val="000000" w:themeColor="text1"/>
          <w:szCs w:val="21"/>
          <w:highlight w:val="none"/>
          <w14:textFill>
            <w14:solidFill>
              <w14:schemeClr w14:val="tx1"/>
            </w14:solidFill>
          </w14:textFill>
        </w:rPr>
      </w:pPr>
      <w:r>
        <w:rPr>
          <w:rFonts w:hint="default" w:ascii="宋体" w:hAnsi="宋体" w:eastAsia="宋体"/>
          <w:szCs w:val="21"/>
          <w:highlight w:val="none"/>
          <w:lang w:val="en-US" w:eastAsia="zh-CN"/>
        </w:rPr>
        <w:t>▲</w:t>
      </w:r>
      <w:r>
        <w:rPr>
          <w:rFonts w:hint="eastAsia" w:ascii="宋体" w:hAnsi="宋体" w:eastAsia="宋体"/>
          <w:szCs w:val="21"/>
          <w:highlight w:val="none"/>
          <w:lang w:val="en-US" w:eastAsia="zh-CN"/>
        </w:rPr>
        <w:t>23、</w:t>
      </w:r>
      <w:r>
        <w:rPr>
          <w:rFonts w:hint="eastAsia" w:ascii="宋体" w:hAnsi="宋体" w:cstheme="minorBidi"/>
          <w:color w:val="000000" w:themeColor="text1"/>
          <w:kern w:val="2"/>
          <w:sz w:val="21"/>
          <w:szCs w:val="21"/>
          <w:highlight w:val="none"/>
          <w:lang w:val="en-US" w:eastAsia="zh-CN" w:bidi="ar"/>
          <w14:textFill>
            <w14:solidFill>
              <w14:schemeClr w14:val="tx1"/>
            </w14:solidFill>
          </w14:textFill>
        </w:rPr>
        <w:t>仪器</w:t>
      </w:r>
      <w:r>
        <w:rPr>
          <w:rFonts w:hint="eastAsia" w:ascii="宋体" w:hAnsi="宋体" w:eastAsiaTheme="minorEastAsia" w:cstheme="minorBidi"/>
          <w:color w:val="000000" w:themeColor="text1"/>
          <w:kern w:val="2"/>
          <w:sz w:val="21"/>
          <w:szCs w:val="21"/>
          <w:highlight w:val="none"/>
          <w:lang w:val="en-US" w:eastAsia="zh-CN" w:bidi="ar"/>
          <w14:textFill>
            <w14:solidFill>
              <w14:schemeClr w14:val="tx1"/>
            </w14:solidFill>
          </w14:textFill>
        </w:rPr>
        <w:t xml:space="preserve">防护等级 IP66。 </w:t>
      </w:r>
    </w:p>
    <w:p w14:paraId="4CFD4461">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25114B73">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7EE44841">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550CCE8F">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1FAE5C31">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57ADCECC">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4E074CE2">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311888FC">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0BC39782">
      <w:pPr>
        <w:spacing w:line="360" w:lineRule="auto"/>
        <w:rPr>
          <w:rFonts w:hint="default"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0AB034DC"/>
    <w:rsid w:val="1F7E65C1"/>
    <w:rsid w:val="28DC5109"/>
    <w:rsid w:val="32863A70"/>
    <w:rsid w:val="5C501E2C"/>
    <w:rsid w:val="5DAF1AA8"/>
    <w:rsid w:val="672600C8"/>
    <w:rsid w:val="67F80AD6"/>
    <w:rsid w:val="6A4C43CD"/>
    <w:rsid w:val="7174079F"/>
    <w:rsid w:val="746B5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Lines/>
      <w:spacing w:line="360" w:lineRule="auto"/>
      <w:outlineLvl w:val="3"/>
    </w:pPr>
    <w:rPr>
      <w:rFonts w:eastAsia="Times New Roman" w:asciiTheme="majorHAnsi" w:hAnsiTheme="majorHAnsi" w:cstheme="majorBidi"/>
      <w:bCs/>
      <w:sz w:val="24"/>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rPr>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4569</Words>
  <Characters>5220</Characters>
  <Lines>13</Lines>
  <Paragraphs>3</Paragraphs>
  <TotalTime>216</TotalTime>
  <ScaleCrop>false</ScaleCrop>
  <LinksUpToDate>false</LinksUpToDate>
  <CharactersWithSpaces>5327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2025-11-24T02:55:16Z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E8AC9C018C934F58B67966CDB3650B73_13</vt:lpwstr>
  </property>
</Properties>
</file>