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8C0D8">
      <w:pPr>
        <w:ind w:left="0"/>
        <w:jc w:val="center"/>
        <w:rPr>
          <w:rFonts w:ascii="宋体" w:hAnsi="宋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广东省职业病防治院虚拟化平台建设和服务器扩容需求</w:t>
      </w:r>
    </w:p>
    <w:p w14:paraId="1AB373CC">
      <w:pPr>
        <w:ind w:left="0"/>
        <w:rPr>
          <w:rFonts w:ascii="宋体" w:hAnsi="宋体"/>
          <w:sz w:val="24"/>
          <w:szCs w:val="24"/>
        </w:rPr>
      </w:pPr>
    </w:p>
    <w:p w14:paraId="1B327D4C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480" w:lineRule="exact"/>
        <w:ind w:lef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_Toc208994328"/>
      <w:bookmarkStart w:id="1" w:name="_ZH-CN_TOPIC_0000001285948242-chtext"/>
      <w:r>
        <w:rPr>
          <w:rFonts w:hint="eastAsia" w:ascii="宋体" w:hAnsi="宋体" w:eastAsia="宋体" w:cs="宋体"/>
          <w:b/>
          <w:bCs/>
          <w:sz w:val="24"/>
          <w:szCs w:val="24"/>
        </w:rPr>
        <w:t>一、项目背景</w:t>
      </w:r>
      <w:bookmarkEnd w:id="0"/>
      <w:bookmarkEnd w:id="1"/>
    </w:p>
    <w:p w14:paraId="555262CA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广东省职业病防治院现有4台搭载鲲鹏920 CPU的昆仑/KUNLUN, 2280服务器，使用物理机的方式提供业务服务，存在硬件使用率低的问题。为了提升服务器资源利用率。拟建设虚拟化平台，解决服务器硬件资源利用率低、业务部署上线周期长等难点。数据中心虚拟化解决方案以其强大的弹性和高可拓展性，不仅可以实现IT资源优化，更可以实现规模效应最大化，为企业数字化转型提供最佳基础设施。</w:t>
      </w:r>
    </w:p>
    <w:p w14:paraId="79F5B7EB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lef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另为满足虚拟化平台性能的要求，拟对现有4台昆仑/KUNLUN 2280服务器 进行硬盘扩容。</w:t>
      </w:r>
    </w:p>
    <w:p w14:paraId="63014D8D">
      <w:pPr>
        <w:pStyle w:val="38"/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二、项目整体需求：</w:t>
      </w:r>
    </w:p>
    <w:p w14:paraId="07F1775D">
      <w:pPr>
        <w:pStyle w:val="38"/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480" w:lineRule="exact"/>
        <w:ind w:firstLine="480"/>
        <w:jc w:val="both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★兼容性承诺：本期项目为服务器硬盘、虚拟化软件两项产品及其实施服务，实现服务器虚拟化。投标人须书面承诺新增的服务器硬盘、虚拟化软件</w:t>
      </w:r>
      <w:r>
        <w:rPr>
          <w:rFonts w:hint="eastAsia" w:ascii="宋体" w:hAnsi="宋体" w:eastAsia="宋体" w:cs="宋体"/>
          <w:b/>
          <w:sz w:val="24"/>
          <w:szCs w:val="24"/>
        </w:rPr>
        <w:t>完全兼容适配</w:t>
      </w:r>
      <w:r>
        <w:rPr>
          <w:rFonts w:hint="eastAsia" w:ascii="宋体" w:hAnsi="宋体" w:eastAsia="宋体" w:cs="宋体"/>
          <w:sz w:val="24"/>
          <w:szCs w:val="24"/>
        </w:rPr>
        <w:t>采购人(广东省职业病防治院)已购服务器。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（投标时提供承诺函，格式自拟）</w:t>
      </w:r>
    </w:p>
    <w:p w14:paraId="70398609">
      <w:pPr>
        <w:pStyle w:val="38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 项目内容一览表</w:t>
      </w:r>
    </w:p>
    <w:tbl>
      <w:tblPr>
        <w:tblStyle w:val="14"/>
        <w:tblW w:w="10024" w:type="dxa"/>
        <w:tblInd w:w="-6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5188"/>
        <w:gridCol w:w="795"/>
        <w:gridCol w:w="3335"/>
      </w:tblGrid>
      <w:tr w14:paraId="60B7AD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52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D9D9D9"/>
          </w:tcPr>
          <w:p w14:paraId="4BD4D909">
            <w:pPr>
              <w:pStyle w:val="39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587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D9D9D9"/>
          </w:tcPr>
          <w:p w14:paraId="4DB47588">
            <w:pPr>
              <w:pStyle w:val="39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396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D9D9D9"/>
          </w:tcPr>
          <w:p w14:paraId="6F515D45">
            <w:pPr>
              <w:pStyle w:val="39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663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shd w:val="clear" w:color="auto" w:fill="D9D9D9"/>
          </w:tcPr>
          <w:p w14:paraId="2E8D8D73">
            <w:pPr>
              <w:pStyle w:val="39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参数值</w:t>
            </w:r>
          </w:p>
        </w:tc>
      </w:tr>
      <w:tr w14:paraId="2521C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062FD3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587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C3A0DD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固态硬盘-480GB-SATA 6Gb/s-读密集型-PM893系列-2.5英寸(3.5英寸托架)</w:t>
            </w:r>
          </w:p>
        </w:tc>
        <w:tc>
          <w:tcPr>
            <w:tcW w:w="396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ADD4CD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63" w:type="pct"/>
            <w:tcBorders>
              <w:top w:val="single" w:color="000000" w:sz="6" w:space="0"/>
              <w:bottom w:val="single" w:color="000000" w:sz="6" w:space="0"/>
            </w:tcBorders>
          </w:tcPr>
          <w:p w14:paraId="76CE9009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F35B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91F811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587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A3CD45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固态硬盘-1920GB-SATA 6Gb/s-读密集型-PM893系列-2.5英寸(3.5英寸托架)</w:t>
            </w:r>
          </w:p>
        </w:tc>
        <w:tc>
          <w:tcPr>
            <w:tcW w:w="396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69C0B0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663" w:type="pct"/>
            <w:tcBorders>
              <w:top w:val="single" w:color="000000" w:sz="6" w:space="0"/>
              <w:bottom w:val="single" w:color="000000" w:sz="6" w:space="0"/>
            </w:tcBorders>
          </w:tcPr>
          <w:p w14:paraId="0D949BD2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D567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71BD8E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587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981BC5">
            <w:pPr>
              <w:pStyle w:val="40"/>
              <w:keepNext w:val="0"/>
              <w:keepLines w:val="0"/>
              <w:pageBreakBefore w:val="0"/>
              <w:tabs>
                <w:tab w:val="left" w:pos="1290"/>
              </w:tabs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虚拟化套件标准版许可-每CPU</w:t>
            </w:r>
          </w:p>
          <w:p w14:paraId="5DACC469">
            <w:pPr>
              <w:pStyle w:val="40"/>
              <w:keepNext w:val="0"/>
              <w:keepLines w:val="0"/>
              <w:pageBreakBefore w:val="0"/>
              <w:tabs>
                <w:tab w:val="left" w:pos="1290"/>
              </w:tabs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虚拟化套件标准版-3年软件订阅与保障年费-每CPU</w:t>
            </w:r>
          </w:p>
        </w:tc>
        <w:tc>
          <w:tcPr>
            <w:tcW w:w="396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2A49A7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663" w:type="pct"/>
            <w:tcBorders>
              <w:top w:val="single" w:color="000000" w:sz="6" w:space="0"/>
              <w:bottom w:val="single" w:color="000000" w:sz="6" w:space="0"/>
            </w:tcBorders>
          </w:tcPr>
          <w:p w14:paraId="7234922B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详细技术、配置及功能详见“四、技术要求1. 虚拟化软件”</w:t>
            </w:r>
          </w:p>
        </w:tc>
      </w:tr>
    </w:tbl>
    <w:p w14:paraId="1922E06F">
      <w:pPr>
        <w:pStyle w:val="38"/>
        <w:keepNext w:val="0"/>
        <w:keepLines w:val="0"/>
        <w:pageBreakBefore w:val="0"/>
        <w:kinsoku/>
        <w:wordWrap/>
        <w:overflowPunct/>
        <w:autoSpaceDE/>
        <w:autoSpaceDN/>
        <w:bidi w:val="0"/>
        <w:spacing w:before="105" w:after="105" w:line="5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四、技术要求</w:t>
      </w:r>
    </w:p>
    <w:p w14:paraId="7D1648C7">
      <w:pPr>
        <w:pStyle w:val="38"/>
        <w:keepNext w:val="0"/>
        <w:keepLines w:val="0"/>
        <w:pageBreakBefore w:val="0"/>
        <w:kinsoku/>
        <w:wordWrap/>
        <w:overflowPunct/>
        <w:autoSpaceDE/>
        <w:autoSpaceDN/>
        <w:bidi w:val="0"/>
        <w:spacing w:before="105" w:after="105" w:line="5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如无特别说明，参数指标均为约值。</w:t>
      </w:r>
    </w:p>
    <w:p w14:paraId="00604591">
      <w:pPr>
        <w:pStyle w:val="38"/>
        <w:keepNext w:val="0"/>
        <w:keepLines w:val="0"/>
        <w:pageBreakBefore w:val="0"/>
        <w:kinsoku/>
        <w:wordWrap/>
        <w:overflowPunct/>
        <w:autoSpaceDE/>
        <w:autoSpaceDN/>
        <w:bidi w:val="0"/>
        <w:spacing w:before="105" w:after="105"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b/>
          <w:sz w:val="24"/>
          <w:szCs w:val="24"/>
        </w:rPr>
        <w:t>.虚拟化软件技术要求：</w:t>
      </w:r>
    </w:p>
    <w:p w14:paraId="7257708D">
      <w:pPr>
        <w:pStyle w:val="38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★配置一套≥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颗CPU的授权虚拟化套件标准版许可（含3年软件订阅与保障年费）；</w:t>
      </w:r>
    </w:p>
    <w:p w14:paraId="0CB0A02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/>
        <w:textAlignment w:val="auto"/>
        <w:rPr>
          <w:rFonts w:hint="eastAsia" w:ascii="宋体" w:hAnsi="宋体" w:eastAsia="宋体" w:cs="宋体"/>
          <w:color w:val="EE0000"/>
          <w:kern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Hans"/>
        </w:rPr>
        <w:t>2、为保障虚拟机的计算资源分配，实现资源业务隔离以便满足不同业务的要求、提高资源利用率，平台需支持虚拟机的CPU 、网络、IOPS的QoS进行设置功能，支持对存储卷级的QoS，提供对IOPS、带宽进行精细化控制的功能，满足不同应用的性能需求，</w:t>
      </w:r>
      <w:r>
        <w:rPr>
          <w:rFonts w:hint="eastAsia" w:ascii="宋体" w:hAnsi="宋体" w:eastAsia="宋体" w:cs="宋体"/>
          <w:color w:val="EE0000"/>
          <w:kern w:val="0"/>
          <w:sz w:val="24"/>
          <w:szCs w:val="24"/>
          <w:lang w:eastAsia="zh-Hans"/>
        </w:rPr>
        <w:t>提供软件界面截图证明。</w:t>
      </w:r>
    </w:p>
    <w:p w14:paraId="61CC216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/>
        <w:textAlignment w:val="auto"/>
        <w:rPr>
          <w:rFonts w:hint="eastAsia" w:ascii="宋体" w:hAnsi="宋体" w:eastAsia="宋体" w:cs="宋体"/>
          <w:color w:val="EE0000"/>
          <w:kern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Hans"/>
        </w:rPr>
        <w:t>3、▲为保证系统平滑演进、业务连续性的高可靠，平台支持以集群为单位设置跨代CPU虚拟机热迁移属性，支持同一CPU厂商不同CPU型号服务器组建在同一逻辑集群中,并且支持虚拟机在不同CPU型号服务器之间进行业务不中断热迁移，</w:t>
      </w:r>
      <w:r>
        <w:rPr>
          <w:rFonts w:hint="eastAsia" w:ascii="宋体" w:hAnsi="宋体" w:eastAsia="宋体" w:cs="宋体"/>
          <w:color w:val="EE0000"/>
          <w:kern w:val="0"/>
          <w:sz w:val="24"/>
          <w:szCs w:val="24"/>
          <w:lang w:eastAsia="zh-Hans"/>
        </w:rPr>
        <w:t>提供官方证明材料并加盖原厂公章。</w:t>
      </w:r>
    </w:p>
    <w:p w14:paraId="3E93964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Hans"/>
        </w:rPr>
        <w:t>4、▲为解决传统虚拟机迁移缓慢、热迁移资源占用过多问题，同时提高迁移成功率，平台支持服务器加速器技术，相比传统方式迁移效率提升9倍以上，15GB大小的虚拟机跨主机热迁移≤20s，</w:t>
      </w:r>
      <w:r>
        <w:rPr>
          <w:rFonts w:hint="eastAsia" w:ascii="宋体" w:hAnsi="宋体" w:eastAsia="宋体" w:cs="宋体"/>
          <w:color w:val="EE0000"/>
          <w:kern w:val="0"/>
          <w:sz w:val="24"/>
          <w:szCs w:val="24"/>
          <w:lang w:eastAsia="zh-Hans"/>
        </w:rPr>
        <w:t>提供官方证明材料并加盖原厂公章。</w:t>
      </w:r>
    </w:p>
    <w:p w14:paraId="405EF70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Hans"/>
        </w:rPr>
        <w:t>5、为简化业务管理和运维、提升日常操作易用性，支持虚拟机全生命周期管理，平台支持对虚拟机业务虚拟机的迁移、启动、关闭、安全删除、克隆、定时开关机以及标签设置等全生命周期的操作及管理。</w:t>
      </w:r>
    </w:p>
    <w:p w14:paraId="57C77DE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Hans"/>
        </w:rPr>
        <w:t>6、为帮助客户快速部署业务，并且提供便捷的虚拟机镜像自助管理功能，平台支持全局共享镜像仓库，支持NFS存储，将客户的操作系统镜像、模板等公共文件存储在所提供的NFS存储，支持镜像文件的上传、删除、下载、跨站点克隆等功能</w:t>
      </w:r>
    </w:p>
    <w:p w14:paraId="05BDC44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/>
        <w:textAlignment w:val="auto"/>
        <w:rPr>
          <w:rFonts w:hint="eastAsia" w:ascii="宋体" w:hAnsi="宋体" w:eastAsia="宋体" w:cs="宋体"/>
          <w:color w:val="EE0000"/>
          <w:kern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Hans"/>
        </w:rPr>
        <w:t>7、▲为支持GPU资源池化、动态弹性伸缩和灵活调度以满足不同的业务对GPU资源的需求，平台支持vGPU/显存任意大小切片功能，实现业务负载与GPU/CPU解耦，支持GPU资源池化业务运算时动态提供vGPU资源，支持GPU跨机聚合，支持更小粒度GPU资源切分能够按算力百分比及MB级别划分显存大小并进行异构算力资源申请，</w:t>
      </w:r>
      <w:r>
        <w:rPr>
          <w:rFonts w:hint="eastAsia" w:ascii="宋体" w:hAnsi="宋体" w:eastAsia="宋体" w:cs="宋体"/>
          <w:color w:val="EE0000"/>
          <w:kern w:val="0"/>
          <w:sz w:val="24"/>
          <w:szCs w:val="24"/>
          <w:lang w:eastAsia="zh-Hans"/>
        </w:rPr>
        <w:t>提供软件界面截图证明并加盖原厂公章。</w:t>
      </w:r>
    </w:p>
    <w:p w14:paraId="66F1987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Hans"/>
        </w:rPr>
        <w:t>8、支持虚拟交换机，通过对接受和发送的流量进行整形保证网络质量，至少支持安全组、平均带宽、峰值带宽、突发大小、优先级、DHCP隔离、广播抑制、TCP校验和的设置。</w:t>
      </w:r>
    </w:p>
    <w:p w14:paraId="7F8EC66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Hans"/>
        </w:rPr>
        <w:t>9、为了实现网络传输的高性能，满足高性能低时延业务的要求，系统支持SR-IOV直通，网络传输绕过软件模拟层，直接分配到虚拟机，降低了软件模拟层中的I/O开销</w:t>
      </w:r>
    </w:p>
    <w:p w14:paraId="3821021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/>
        <w:textAlignment w:val="auto"/>
        <w:rPr>
          <w:rFonts w:hint="eastAsia" w:ascii="宋体" w:hAnsi="宋体" w:eastAsia="宋体" w:cs="宋体"/>
          <w:color w:val="EE0000"/>
          <w:kern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Hans"/>
        </w:rPr>
        <w:t>10、▲为提高应用业务的适应性以及必要系统变更的便捷操作，平台支持无代理跨主机虚拟机USB映射，无需在业务虚拟机安装客户端插件，且虚拟机漂移到其他主机，仍能正常使用迁移前主机的USB资源，支持虚拟机跨主机启动、HA、热迁移等场景，保证业务的连续运行，</w:t>
      </w:r>
      <w:r>
        <w:rPr>
          <w:rFonts w:hint="eastAsia" w:ascii="宋体" w:hAnsi="宋体" w:eastAsia="宋体" w:cs="宋体"/>
          <w:color w:val="EE0000"/>
          <w:kern w:val="0"/>
          <w:sz w:val="24"/>
          <w:szCs w:val="24"/>
          <w:lang w:eastAsia="zh-Hans"/>
        </w:rPr>
        <w:t>提供对应产品文档说明材料并加盖原厂公章。</w:t>
      </w:r>
    </w:p>
    <w:p w14:paraId="345F36B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Hans"/>
        </w:rPr>
        <w:t>11、支持虚拟机HA，允许配置集群内HA预留的主机数量，以保证在虚拟机故障时有足够的资源进行切换，支持配置存储故障后是HA虚拟机还是不处理。</w:t>
      </w:r>
    </w:p>
    <w:p w14:paraId="113DB02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Hans"/>
        </w:rPr>
        <w:t>12、支持图形化界面安全删除虚拟机，虚拟机删除的同时将底层存储空间进行置“0”操作，避免数据后期被恶意恢复</w:t>
      </w:r>
    </w:p>
    <w:p w14:paraId="13A46188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left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Hans"/>
        </w:rPr>
      </w:pPr>
    </w:p>
    <w:p w14:paraId="551C8D8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left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Hans"/>
        </w:rPr>
      </w:pPr>
    </w:p>
    <w:p w14:paraId="048973E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left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Hans"/>
        </w:rPr>
      </w:pPr>
      <w:bookmarkStart w:id="2" w:name="_GoBack"/>
      <w:bookmarkEnd w:id="2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Hans"/>
        </w:rPr>
        <w:t>五、服务要求</w:t>
      </w:r>
    </w:p>
    <w:p w14:paraId="2644E683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left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Hans"/>
        </w:rPr>
        <w:t>1、提供虚拟化软件安装、调试服务；</w:t>
      </w:r>
    </w:p>
    <w:p w14:paraId="0EF7513A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left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Hans"/>
        </w:rPr>
        <w:t>2、提供服务器硬盘扩容安装服务。</w:t>
      </w:r>
    </w:p>
    <w:p w14:paraId="268D7223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left="0"/>
        <w:textAlignment w:val="auto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3、提供生产厂家或生产厂家授权的维保承诺。</w:t>
      </w:r>
    </w:p>
    <w:p w14:paraId="4947797C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left="0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4、提供维保承诺并加盖投标人公章。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87"/>
    <w:rsid w:val="000024FD"/>
    <w:rsid w:val="00114D93"/>
    <w:rsid w:val="002F1D87"/>
    <w:rsid w:val="00307E26"/>
    <w:rsid w:val="00587712"/>
    <w:rsid w:val="005C09B3"/>
    <w:rsid w:val="00626D8B"/>
    <w:rsid w:val="00634303"/>
    <w:rsid w:val="00936F48"/>
    <w:rsid w:val="009972AE"/>
    <w:rsid w:val="00AB2DED"/>
    <w:rsid w:val="00AD5AB5"/>
    <w:rsid w:val="00B97CE8"/>
    <w:rsid w:val="00C51A5C"/>
    <w:rsid w:val="00C51AD8"/>
    <w:rsid w:val="00CA7793"/>
    <w:rsid w:val="00D20139"/>
    <w:rsid w:val="00E348F1"/>
    <w:rsid w:val="00E95CDD"/>
    <w:rsid w:val="29C96FDB"/>
    <w:rsid w:val="3F986BC5"/>
    <w:rsid w:val="477F7689"/>
    <w:rsid w:val="50E0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opLinePunct/>
      <w:adjustRightInd w:val="0"/>
      <w:snapToGrid w:val="0"/>
      <w:spacing w:before="160" w:after="160" w:line="240" w:lineRule="atLeast"/>
      <w:ind w:left="1701"/>
    </w:pPr>
    <w:rPr>
      <w:rFonts w:hint="eastAsia" w:ascii="Times New Roman" w:hAnsi="Times New Roman" w:eastAsia="宋体" w:cs="Arial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unhideWhenUsed/>
    <w:qFormat/>
    <w:uiPriority w:val="0"/>
    <w:pPr>
      <w:keepNext/>
      <w:keepLines/>
      <w:spacing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0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0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ind w:left="1701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qFormat/>
    <w:uiPriority w:val="0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4">
    <w:name w:val="Block Label"/>
    <w:basedOn w:val="1"/>
    <w:next w:val="1"/>
    <w:qFormat/>
    <w:uiPriority w:val="0"/>
    <w:pPr>
      <w:keepNext/>
      <w:keepLines/>
      <w:spacing w:before="300" w:after="80"/>
      <w:ind w:left="0"/>
    </w:pPr>
    <w:rPr>
      <w:rFonts w:ascii="Book Antiqua" w:hAnsi="Book Antiqua" w:eastAsia="黑体" w:cs="Book Antiqua"/>
      <w:bCs/>
      <w:kern w:val="0"/>
      <w:sz w:val="26"/>
      <w:szCs w:val="26"/>
    </w:rPr>
  </w:style>
  <w:style w:type="paragraph" w:customStyle="1" w:styleId="35">
    <w:name w:val="Figure Description"/>
    <w:next w:val="1"/>
    <w:qFormat/>
    <w:uiPriority w:val="0"/>
    <w:pPr>
      <w:keepNext/>
      <w:adjustRightInd w:val="0"/>
      <w:snapToGrid w:val="0"/>
      <w:spacing w:before="320" w:after="80" w:line="240" w:lineRule="atLeast"/>
      <w:ind w:left="1701"/>
    </w:pPr>
    <w:rPr>
      <w:rFonts w:ascii="Times New Roman" w:hAnsi="Times New Roman" w:eastAsia="黑体" w:cs="Arial"/>
      <w:spacing w:val="-4"/>
      <w:kern w:val="2"/>
      <w:sz w:val="21"/>
      <w:szCs w:val="21"/>
      <w:lang w:val="en-US" w:eastAsia="zh-CN" w:bidi="ar-SA"/>
      <w14:ligatures w14:val="none"/>
    </w:rPr>
  </w:style>
  <w:style w:type="paragraph" w:customStyle="1" w:styleId="36">
    <w:name w:val="Step"/>
    <w:basedOn w:val="1"/>
    <w:uiPriority w:val="0"/>
    <w:pPr>
      <w:tabs>
        <w:tab w:val="left" w:pos="1701"/>
      </w:tabs>
      <w:ind w:hanging="159"/>
    </w:pPr>
    <w:rPr>
      <w:snapToGrid w:val="0"/>
      <w:kern w:val="0"/>
    </w:rPr>
  </w:style>
  <w:style w:type="paragraph" w:customStyle="1" w:styleId="37">
    <w:name w:val="Table Description"/>
    <w:basedOn w:val="1"/>
    <w:next w:val="1"/>
    <w:qFormat/>
    <w:uiPriority w:val="0"/>
    <w:pPr>
      <w:keepNext/>
      <w:spacing w:before="320" w:after="80"/>
    </w:pPr>
    <w:rPr>
      <w:rFonts w:eastAsia="黑体"/>
      <w:spacing w:val="-4"/>
    </w:rPr>
  </w:style>
  <w:style w:type="paragraph" w:customStyle="1" w:styleId="38">
    <w:name w:val="null3"/>
    <w:hidden/>
    <w:qFormat/>
    <w:uiPriority w:val="0"/>
    <w:pPr>
      <w:spacing w:after="0" w:line="240" w:lineRule="auto"/>
    </w:pPr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  <w14:ligatures w14:val="none"/>
    </w:rPr>
  </w:style>
  <w:style w:type="paragraph" w:customStyle="1" w:styleId="39">
    <w:name w:val="Table Heading"/>
    <w:basedOn w:val="1"/>
    <w:qFormat/>
    <w:uiPriority w:val="0"/>
    <w:pPr>
      <w:widowControl w:val="0"/>
      <w:spacing w:before="80" w:after="80"/>
      <w:ind w:left="0"/>
    </w:pPr>
    <w:rPr>
      <w:rFonts w:ascii="Book Antiqua" w:hAnsi="Book Antiqua" w:eastAsia="黑体" w:cs="Book Antiqua"/>
      <w:bCs/>
      <w:snapToGrid w:val="0"/>
      <w:kern w:val="0"/>
    </w:rPr>
  </w:style>
  <w:style w:type="paragraph" w:customStyle="1" w:styleId="40">
    <w:name w:val="Table Text"/>
    <w:basedOn w:val="1"/>
    <w:uiPriority w:val="0"/>
    <w:pPr>
      <w:widowControl w:val="0"/>
      <w:spacing w:before="80" w:after="80"/>
      <w:ind w:left="0"/>
    </w:pPr>
    <w:rPr>
      <w:snapToGrid w:val="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1703</Words>
  <Characters>1867</Characters>
  <Lines>13</Lines>
  <Paragraphs>3</Paragraphs>
  <TotalTime>6</TotalTime>
  <ScaleCrop>false</ScaleCrop>
  <LinksUpToDate>false</LinksUpToDate>
  <CharactersWithSpaces>1880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2025-10-13T09:34:00Z</dcterms:created>
  <dc:creator>guo yibo</dc:creator>
  <cp:lastModifiedBy>谭绍东</cp:lastModifiedBy>
  <dcterms:modified xsi:type="dcterms:W3CDTF">2025-11-10T07:41:02Z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eyJoZGlkIjoiNjY2YWJmMDBkYmJhMDc3NDMyNmM1MGE1MWQ0MjQyYzMiLCJ1c2VySWQiOiI1MDU0NDUwMTIifQ==</vt:lpwstr>
  </property>
  <property fmtid="{D5CDD505-2E9C-101B-9397-08002B2CF9AE}" pid="4" name="ICV">
    <vt:lpwstr>BFFBCBEC87F94A21BD75C567689C9576_13</vt:lpwstr>
  </property>
</Properties>
</file>