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AE21D">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包一、十万分之一天平</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1台 限价10万元</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名称：十万分之一天平 </w:t>
      </w:r>
    </w:p>
    <w:p w14:paraId="13F16E6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数量：1台</w:t>
      </w:r>
    </w:p>
    <w:p w14:paraId="1449B61B">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货期：签订合同一个月内</w:t>
      </w:r>
    </w:p>
    <w:p w14:paraId="115D049A">
      <w:pPr>
        <w:spacing w:line="276" w:lineRule="auto"/>
        <w:ind w:left="-141" w:leftChars="-67"/>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737D1EB0">
      <w:pPr>
        <w:pStyle w:val="8"/>
        <w:numPr>
          <w:ilvl w:val="0"/>
          <w:numId w:val="1"/>
        </w:numPr>
        <w:spacing w:line="276" w:lineRule="auto"/>
        <w:ind w:left="-141" w:leftChars="-67" w:firstLineChars="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计量参数</w:t>
      </w:r>
    </w:p>
    <w:p w14:paraId="5E205D1B">
      <w:pPr>
        <w:pStyle w:val="8"/>
        <w:numPr>
          <w:ilvl w:val="1"/>
          <w:numId w:val="1"/>
        </w:numPr>
        <w:spacing w:line="276" w:lineRule="auto"/>
        <w:ind w:left="-141" w:leftChars="-67" w:firstLineChars="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最大量程：60g/120g；</w:t>
      </w:r>
    </w:p>
    <w:p w14:paraId="1114C1D7">
      <w:pPr>
        <w:pStyle w:val="8"/>
        <w:numPr>
          <w:ilvl w:val="1"/>
          <w:numId w:val="1"/>
        </w:numPr>
        <w:spacing w:line="276" w:lineRule="auto"/>
        <w:ind w:left="-141" w:leftChars="-67" w:firstLineChars="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可读性：0.01mg/0.1mg；</w:t>
      </w:r>
    </w:p>
    <w:p w14:paraId="2BC5BD7B">
      <w:pPr>
        <w:pStyle w:val="8"/>
        <w:numPr>
          <w:ilvl w:val="1"/>
          <w:numId w:val="1"/>
        </w:numPr>
        <w:spacing w:line="276" w:lineRule="auto"/>
        <w:ind w:left="-141" w:leftChars="-67" w:firstLineChars="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5%负载时的可重复性</w:t>
      </w:r>
      <w:bookmarkStart w:id="0" w:name="_Hlk164262310"/>
      <w:r>
        <w:rPr>
          <w:rFonts w:ascii="Times New Roman" w:hAnsi="Times New Roman" w:eastAsia="宋体" w:cs="Times New Roman"/>
          <w:color w:val="000000" w:themeColor="text1"/>
          <w:szCs w:val="21"/>
          <w14:textFill>
            <w14:solidFill>
              <w14:schemeClr w14:val="tx1"/>
            </w14:solidFill>
          </w14:textFill>
        </w:rPr>
        <w:t>(允差)</w:t>
      </w:r>
      <w:bookmarkEnd w:id="0"/>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0.015mg；</w:t>
      </w:r>
    </w:p>
    <w:p w14:paraId="6D4D4013">
      <w:pPr>
        <w:pStyle w:val="8"/>
        <w:numPr>
          <w:ilvl w:val="1"/>
          <w:numId w:val="1"/>
        </w:numPr>
        <w:spacing w:line="276" w:lineRule="auto"/>
        <w:ind w:left="-141" w:leftChars="-67" w:firstLineChars="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约为最大负载时的可重复性(允差)：</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0.06mg；</w:t>
      </w:r>
    </w:p>
    <w:p w14:paraId="19A459C6">
      <w:pPr>
        <w:pStyle w:val="8"/>
        <w:numPr>
          <w:ilvl w:val="1"/>
          <w:numId w:val="1"/>
        </w:numPr>
        <w:spacing w:line="276" w:lineRule="auto"/>
        <w:ind w:left="-141" w:leftChars="-67" w:firstLineChars="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线性偏差(允差)：</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0.15mg；</w:t>
      </w:r>
    </w:p>
    <w:p w14:paraId="44F59025">
      <w:pPr>
        <w:pStyle w:val="8"/>
        <w:numPr>
          <w:ilvl w:val="1"/>
          <w:numId w:val="1"/>
        </w:numPr>
        <w:spacing w:line="276" w:lineRule="auto"/>
        <w:ind w:left="-141" w:leftChars="-67" w:firstLineChars="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灵敏度在+10℃至+30℃之间漂移值：</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1ppm/K；</w:t>
      </w:r>
    </w:p>
    <w:p w14:paraId="65CD490B">
      <w:pPr>
        <w:pStyle w:val="8"/>
        <w:numPr>
          <w:ilvl w:val="1"/>
          <w:numId w:val="1"/>
        </w:numPr>
        <w:spacing w:line="276" w:lineRule="auto"/>
        <w:ind w:left="-141" w:leftChars="-67" w:firstLineChars="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典型稳定时间：≤2s；</w:t>
      </w:r>
    </w:p>
    <w:p w14:paraId="79729A56">
      <w:pPr>
        <w:pStyle w:val="8"/>
        <w:numPr>
          <w:ilvl w:val="0"/>
          <w:numId w:val="1"/>
        </w:numPr>
        <w:spacing w:line="276" w:lineRule="auto"/>
        <w:ind w:left="-141" w:leftChars="-67" w:firstLineChars="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硬件参数</w:t>
      </w:r>
    </w:p>
    <w:p w14:paraId="7709F915">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szCs w:val="21"/>
        </w:rPr>
        <w:t>彩色TFT电容式触摸屏≥7英寸，</w:t>
      </w:r>
      <w:r>
        <w:rPr>
          <w:rFonts w:ascii="Times New Roman" w:hAnsi="Times New Roman" w:eastAsia="宋体" w:cs="Times New Roman"/>
          <w:bCs/>
          <w:color w:val="000000" w:themeColor="text1"/>
          <w:kern w:val="0"/>
          <w:szCs w:val="21"/>
          <w14:textFill>
            <w14:solidFill>
              <w14:schemeClr w14:val="tx1"/>
            </w14:solidFill>
          </w14:textFill>
        </w:rPr>
        <w:t>智能操作界面，划屏操作，方便快捷，清晰显示文本和图形。屏幕可与称重模块分离，可选配3m延伸线；</w:t>
      </w:r>
    </w:p>
    <w:p w14:paraId="55BF4D03">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中文图形菜单显示界面，显示清晰直观、操作便捷。支持中文输入；</w:t>
      </w:r>
    </w:p>
    <w:p w14:paraId="3988556E">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可分离电子模块与称重模块设计，防止因电子模块发热而影响称重结果；</w:t>
      </w:r>
    </w:p>
    <w:p w14:paraId="6276F5D9">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w:t>
      </w:r>
      <w:r>
        <w:rPr>
          <w:rFonts w:ascii="Times New Roman" w:hAnsi="Times New Roman" w:eastAsia="宋体" w:cs="Times New Roman"/>
          <w:bCs/>
          <w:color w:val="000000" w:themeColor="text1"/>
          <w:kern w:val="0"/>
          <w:szCs w:val="21"/>
          <w14:textFill>
            <w14:solidFill>
              <w14:schemeClr w14:val="tx1"/>
            </w14:solidFill>
          </w14:textFill>
        </w:rPr>
        <w:t>防风罩高度≥261mm；防风罩玻璃表面镀有特殊导电涂层，有效减少静电对称重的干扰；</w:t>
      </w:r>
    </w:p>
    <w:p w14:paraId="17DF8869">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配置超级单体传感器，</w:t>
      </w:r>
      <w:r>
        <w:rPr>
          <w:rFonts w:hint="eastAsia" w:ascii="Times New Roman" w:hAnsi="Times New Roman" w:eastAsia="宋体" w:cs="Times New Roman"/>
          <w:bCs/>
          <w:color w:val="000000" w:themeColor="text1"/>
          <w:kern w:val="0"/>
          <w:szCs w:val="21"/>
          <w14:textFill>
            <w14:solidFill>
              <w14:schemeClr w14:val="tx1"/>
            </w14:solidFill>
          </w14:textFill>
        </w:rPr>
        <w:t>仅使用铝镁合金</w:t>
      </w:r>
      <w:r>
        <w:rPr>
          <w:rFonts w:ascii="Times New Roman" w:hAnsi="Times New Roman" w:eastAsia="宋体" w:cs="Times New Roman"/>
          <w:bCs/>
          <w:color w:val="000000" w:themeColor="text1"/>
          <w:kern w:val="0"/>
          <w:szCs w:val="21"/>
          <w14:textFill>
            <w14:solidFill>
              <w14:schemeClr w14:val="tx1"/>
            </w14:solidFill>
          </w14:textFill>
        </w:rPr>
        <w:t>一体加工成形，确保快速获得准确的称重结果；</w:t>
      </w:r>
    </w:p>
    <w:p w14:paraId="5A310393">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w:t>
      </w:r>
      <w:r>
        <w:rPr>
          <w:rFonts w:ascii="Times New Roman" w:hAnsi="Times New Roman" w:eastAsia="宋体" w:cs="Times New Roman"/>
          <w:bCs/>
          <w:color w:val="000000" w:themeColor="text1"/>
          <w:szCs w:val="21"/>
          <w14:textFill>
            <w14:solidFill>
              <w14:schemeClr w14:val="tx1"/>
            </w14:solidFill>
          </w14:textFill>
        </w:rPr>
        <w:t>电机内置主机式的一键全自动调水平功能，电动调平脚位于天平底部，而非主机两侧，节省空间。</w:t>
      </w:r>
    </w:p>
    <w:p w14:paraId="3ADA6E56">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秤盘尺寸为: ≥85mm×85mm；</w:t>
      </w:r>
    </w:p>
    <w:p w14:paraId="46907CCB">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w:t>
      </w:r>
      <w:r>
        <w:rPr>
          <w:rFonts w:ascii="Times New Roman" w:hAnsi="Times New Roman" w:eastAsia="宋体" w:cs="Times New Roman"/>
          <w:bCs/>
          <w:color w:val="000000" w:themeColor="text1"/>
          <w:kern w:val="0"/>
          <w:szCs w:val="21"/>
          <w14:textFill>
            <w14:solidFill>
              <w14:schemeClr w14:val="tx1"/>
            </w14:solidFill>
          </w14:textFill>
        </w:rPr>
        <w:t>秤盘为下沉式设计，秤盘为钛制，耐磨耐腐蚀无磁，有效提高秤盘的使用寿命；</w:t>
      </w:r>
    </w:p>
    <w:p w14:paraId="64FD499A">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 xml:space="preserve"> 机壳采用PBT材质，耐磨耐腐蚀；</w:t>
      </w:r>
    </w:p>
    <w:p w14:paraId="5C31969E">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 xml:space="preserve"> 配置USB-A接口2个、USB-B接口1个，USB-C接口1个，RS232C接口1个，网口1个，可连接打印机、工作站、第二显示器、扫描枪等外设，接口全开放，无需软件即可轻松连接管理系统；</w:t>
      </w:r>
    </w:p>
    <w:p w14:paraId="0877824A">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w:t>
      </w:r>
      <w:r>
        <w:rPr>
          <w:rFonts w:ascii="Times New Roman" w:hAnsi="Times New Roman" w:eastAsia="宋体" w:cs="Times New Roman"/>
          <w:bCs/>
          <w:color w:val="000000" w:themeColor="text1"/>
          <w:kern w:val="0"/>
          <w:szCs w:val="21"/>
          <w14:textFill>
            <w14:solidFill>
              <w14:schemeClr w14:val="tx1"/>
            </w14:solidFill>
          </w14:textFill>
        </w:rPr>
        <w:t>内置Alibi存储器，存储器内数据只可读，不能够修改或删除。可存储约15万条称重数据，可通过U盘导出；</w:t>
      </w:r>
    </w:p>
    <w:p w14:paraId="27AA3F95">
      <w:pPr>
        <w:pStyle w:val="8"/>
        <w:numPr>
          <w:ilvl w:val="0"/>
          <w:numId w:val="1"/>
        </w:numPr>
        <w:spacing w:line="276" w:lineRule="auto"/>
        <w:ind w:left="-141" w:leftChars="-67" w:firstLineChars="0"/>
        <w:jc w:val="left"/>
        <w:rPr>
          <w:rFonts w:ascii="Times New Roman" w:hAnsi="Times New Roman" w:eastAsia="宋体" w:cs="Times New Roman"/>
          <w:bCs/>
          <w:color w:val="000000" w:themeColor="text1"/>
          <w:szCs w:val="21"/>
          <w14:textFill>
            <w14:solidFill>
              <w14:schemeClr w14:val="tx1"/>
            </w14:solidFill>
          </w14:textFill>
        </w:rPr>
      </w:pPr>
      <w:bookmarkStart w:id="1" w:name="_Hlk153746920"/>
      <w:r>
        <w:rPr>
          <w:rFonts w:ascii="Times New Roman" w:hAnsi="Times New Roman" w:eastAsia="宋体" w:cs="Times New Roman"/>
          <w:bCs/>
          <w:color w:val="000000" w:themeColor="text1"/>
          <w:szCs w:val="21"/>
          <w14:textFill>
            <w14:solidFill>
              <w14:schemeClr w14:val="tx1"/>
            </w14:solidFill>
          </w14:textFill>
        </w:rPr>
        <w:t>性能参数</w:t>
      </w:r>
    </w:p>
    <w:p w14:paraId="77E85450">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操作界面可一键切换至用户登录界面，便捷快速地切换使用账户；</w:t>
      </w:r>
    </w:p>
    <w:p w14:paraId="4F517AE8">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水平监测功能，当天平未处于水平状态时会有报警提醒；</w:t>
      </w:r>
    </w:p>
    <w:p w14:paraId="521D30C2">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校准监测功能，当天平达到需要进行校准的条件时会有报警提醒；</w:t>
      </w:r>
    </w:p>
    <w:p w14:paraId="3DE375FE">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IsoCAL功能，依据温度和时间触发的全自动内部校准和调整功能，确保获得准确的称量结果，内部砝码亦可进行线性化调整；</w:t>
      </w:r>
    </w:p>
    <w:p w14:paraId="0B71F9E0">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自动检测并通知校准结果是否超出正常范围，确保用于称量的天平状态符合要求；</w:t>
      </w:r>
    </w:p>
    <w:p w14:paraId="7ACAF735">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校准结果的审计追踪，记录存储在天平内部，以便需要时可将记录从天平中调出；</w:t>
      </w:r>
    </w:p>
    <w:p w14:paraId="5B8D9BEF">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w:t>
      </w:r>
      <w:r>
        <w:rPr>
          <w:rFonts w:ascii="Times New Roman" w:hAnsi="Times New Roman" w:eastAsia="宋体" w:cs="Times New Roman"/>
          <w:bCs/>
          <w:color w:val="000000" w:themeColor="text1"/>
          <w:kern w:val="0"/>
          <w:szCs w:val="21"/>
          <w14:textFill>
            <w14:solidFill>
              <w14:schemeClr w14:val="tx1"/>
            </w14:solidFill>
          </w14:textFill>
        </w:rPr>
        <w:t>具备状态中心，其可显示报警、错误、校准情况、水平状态等信息，在报警或报错情形下，系统可提供帮助和支持；</w:t>
      </w:r>
    </w:p>
    <w:p w14:paraId="5ED5B279">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具备MD5校验码功能，每份从天平内导出的文档都会随附MD5校验码的文件，确保从天平内部导出的称重数据未经过修改，保证数据的安全性和有效性；</w:t>
      </w:r>
    </w:p>
    <w:p w14:paraId="0215E764">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具备NTP时间同步功能，将天平与服务器连接，当天平时间与服务器时间偏差达到2秒时，自动校准；</w:t>
      </w:r>
    </w:p>
    <w:p w14:paraId="4045121E">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 xml:space="preserve"> 便捷的单位转换，点击单位符号图标即可进入单位选择界面；</w:t>
      </w:r>
    </w:p>
    <w:p w14:paraId="1066F9B6">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 xml:space="preserve"> 工作站直连功能，无需软件即可轻松连接到工作站，将时间、称量数值及单位直接传输到电子表格或者文本等格式的文档中；</w:t>
      </w:r>
    </w:p>
    <w:p w14:paraId="40D19D85">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w:t>
      </w:r>
      <w:r>
        <w:rPr>
          <w:rFonts w:hint="eastAsia" w:ascii="Times New Roman" w:hAnsi="Times New Roman" w:eastAsia="宋体" w:cs="Times New Roman"/>
          <w:bCs/>
          <w:color w:val="000000" w:themeColor="text1"/>
          <w:kern w:val="0"/>
          <w:szCs w:val="21"/>
          <w14:textFill>
            <w14:solidFill>
              <w14:schemeClr w14:val="tx1"/>
            </w14:solidFill>
          </w14:textFill>
        </w:rPr>
        <w:t>内置≥60种标准应用程序，在天平上就可实现各种符合sop的操作。其中包括基础包、制药包、高级应用包、多用途包、连接包，满足用户多种称量及应用需求；</w:t>
      </w:r>
      <w:r>
        <w:rPr>
          <w:rFonts w:ascii="Times New Roman" w:hAnsi="Times New Roman" w:eastAsia="宋体" w:cs="Times New Roman"/>
          <w:bCs/>
          <w:color w:val="000000" w:themeColor="text1"/>
          <w:kern w:val="0"/>
          <w:szCs w:val="21"/>
          <w14:textFill>
            <w14:solidFill>
              <w14:schemeClr w14:val="tx1"/>
            </w14:solidFill>
          </w14:textFill>
        </w:rPr>
        <w:t xml:space="preserve"> </w:t>
      </w:r>
    </w:p>
    <w:p w14:paraId="5114E0F9">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w:t>
      </w:r>
      <w:r>
        <w:rPr>
          <w:rFonts w:hint="eastAsia" w:ascii="Times New Roman" w:hAnsi="Times New Roman" w:eastAsia="宋体" w:cs="Times New Roman"/>
          <w:bCs/>
          <w:color w:val="000000" w:themeColor="text1"/>
          <w:kern w:val="0"/>
          <w:szCs w:val="21"/>
          <w14:textFill>
            <w14:solidFill>
              <w14:schemeClr w14:val="tx1"/>
            </w14:solidFill>
          </w14:textFill>
        </w:rPr>
        <w:t>可将称重结果报告、审计追踪记录、Alibi称重数据等上传至FTP或SMB服务器</w:t>
      </w:r>
    </w:p>
    <w:p w14:paraId="1FB6CB6B">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w:t>
      </w:r>
      <w:r>
        <w:rPr>
          <w:rFonts w:ascii="Times New Roman" w:hAnsi="Times New Roman" w:eastAsia="宋体" w:cs="Times New Roman"/>
          <w:szCs w:val="21"/>
        </w:rPr>
        <w:t>配置清洁应用程序，可指导用户以sop的方式进行天平的清洁维护流程，配有图文操作提示。在完成清洁、安装后，有系统自检功能，天平会自动测试所安装的秤盘或电动防风罩是否安装正确，以防对称重结果带来影响；</w:t>
      </w:r>
    </w:p>
    <w:p w14:paraId="24A97107">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 xml:space="preserve"> 不可编辑的四级用户管理功能（管理员、操作者、来宾、服务），可实现群组权限管理及密码保护功能；</w:t>
      </w:r>
    </w:p>
    <w:p w14:paraId="494B29C9">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 xml:space="preserve"> ID设置功能，可编辑至多两个设备ID、一个集团ID、五个批次ID号及五个样品ID号，可随打印报告一起输出；</w:t>
      </w:r>
    </w:p>
    <w:p w14:paraId="35B251CE">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 xml:space="preserve"> 四级防震等级选择，四种称量模式选择，六级稳定性等级选择，四级稳定延迟选择，轻松适应不同环境条件下的应用需求；</w:t>
      </w:r>
    </w:p>
    <w:p w14:paraId="2BFCB725">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包含所有元数据的GLP打印格式，亦可自定义数据输出的方式和内容，报告可同时输出至打印机或U盘等2个位置（打印机、FTP、U盘、Excel、Word、TXT等，输出至FTP或U盘可选择CSV或PDF格式）；</w:t>
      </w:r>
    </w:p>
    <w:p w14:paraId="041B288E">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 xml:space="preserve"> 可在报告从天平输出时进</w:t>
      </w:r>
      <w:r>
        <w:rPr>
          <w:rFonts w:ascii="Times New Roman" w:hAnsi="Times New Roman" w:eastAsia="宋体" w:cs="Times New Roman"/>
          <w:bCs/>
          <w:color w:val="000000" w:themeColor="text1"/>
          <w:kern w:val="0"/>
          <w:szCs w:val="21"/>
          <w14:textFill>
            <w14:solidFill>
              <w14:schemeClr w14:val="tx1"/>
            </w14:solidFill>
          </w14:textFill>
        </w:rPr>
        <w:tab/>
      </w:r>
      <w:r>
        <w:rPr>
          <w:rFonts w:ascii="Times New Roman" w:hAnsi="Times New Roman" w:eastAsia="宋体" w:cs="Times New Roman"/>
          <w:bCs/>
          <w:color w:val="000000" w:themeColor="text1"/>
          <w:kern w:val="0"/>
          <w:szCs w:val="21"/>
          <w14:textFill>
            <w14:solidFill>
              <w14:schemeClr w14:val="tx1"/>
            </w14:solidFill>
          </w14:textFill>
        </w:rPr>
        <w:t>行数据无效化标注，并可编辑数据无效化的原因</w:t>
      </w:r>
      <w:bookmarkEnd w:id="1"/>
    </w:p>
    <w:p w14:paraId="35F43E48">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w:t>
      </w:r>
      <w:r>
        <w:rPr>
          <w:rFonts w:ascii="Times New Roman" w:hAnsi="Times New Roman" w:eastAsia="宋体" w:cs="Times New Roman"/>
          <w:bCs/>
          <w:color w:val="000000" w:themeColor="text1"/>
          <w:kern w:val="0"/>
          <w:szCs w:val="21"/>
          <w14:textFill>
            <w14:solidFill>
              <w14:schemeClr w14:val="tx1"/>
            </w14:solidFill>
          </w14:textFill>
        </w:rPr>
        <w:t>标配带有自学习功能的电动防风罩，可通过屏幕左右两个手掌操作键控制电动防风罩玻璃的开关，每个手掌键可设置单独的开关功能，一次最多可控制上、左、右三扇防风罩玻璃同时开关；</w:t>
      </w:r>
    </w:p>
    <w:p w14:paraId="17364323">
      <w:pPr>
        <w:pStyle w:val="8"/>
        <w:numPr>
          <w:ilvl w:val="1"/>
          <w:numId w:val="1"/>
        </w:numPr>
        <w:spacing w:line="276" w:lineRule="auto"/>
        <w:ind w:left="-141" w:leftChars="-67" w:firstLineChars="0"/>
        <w:jc w:val="left"/>
        <w:rPr>
          <w:rFonts w:ascii="Times New Roman" w:hAnsi="Times New Roman" w:eastAsia="宋体" w:cs="Times New Roman"/>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kern w:val="0"/>
          <w:szCs w:val="21"/>
          <w14:textFill>
            <w14:solidFill>
              <w14:schemeClr w14:val="tx1"/>
            </w14:solidFill>
          </w14:textFill>
        </w:rPr>
        <w:t>▲</w:t>
      </w:r>
      <w:r>
        <w:rPr>
          <w:rFonts w:ascii="Times New Roman" w:hAnsi="Times New Roman" w:eastAsia="宋体" w:cs="Times New Roman"/>
          <w:bCs/>
          <w:color w:val="000000" w:themeColor="text1"/>
          <w:kern w:val="0"/>
          <w:szCs w:val="21"/>
          <w14:textFill>
            <w14:solidFill>
              <w14:schemeClr w14:val="tx1"/>
            </w14:solidFill>
          </w14:textFill>
        </w:rPr>
        <w:t>标配带四个喷嘴的内置静电消除器，可自定设定电离过程的强度与电离过程的持续时间，可定义电离过程触发的模式；</w:t>
      </w:r>
    </w:p>
    <w:p w14:paraId="281F9AAA">
      <w:pPr>
        <w:spacing w:line="276" w:lineRule="auto"/>
        <w:ind w:left="-141" w:leftChars="-67"/>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4.配置清单</w:t>
      </w:r>
    </w:p>
    <w:p w14:paraId="04825A31">
      <w:pPr>
        <w:spacing w:line="276" w:lineRule="auto"/>
        <w:ind w:left="-141" w:leftChars="-67"/>
        <w:jc w:val="left"/>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主机×1、秤盘×1、电源线×1、电子模块×1、电子模块与天平的连接线缆×1、出厂检测报告×1、说明书×1</w:t>
      </w:r>
    </w:p>
    <w:p w14:paraId="46E29A2C">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8、中标人负责设备的供货、安装调试、验收，经招标人验收合格方可。质量保证期不少于 2 年，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769FEC37">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1127B99D">
      <w:pPr>
        <w:numPr>
          <w:ilvl w:val="0"/>
          <w:numId w:val="0"/>
        </w:numPr>
        <w:spacing w:line="276" w:lineRule="auto"/>
        <w:ind w:leftChars="-67"/>
        <w:jc w:val="left"/>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p>
    <w:p w14:paraId="2B41D39A">
      <w:pPr>
        <w:rPr>
          <w:rFonts w:hint="eastAsia"/>
          <w:lang w:val="en-US" w:eastAsia="zh-CN"/>
        </w:rPr>
      </w:pPr>
      <w:r>
        <w:rPr>
          <w:rFonts w:hint="eastAsia"/>
          <w:lang w:val="en-US" w:eastAsia="zh-CN"/>
        </w:rPr>
        <w:br w:type="page"/>
      </w:r>
    </w:p>
    <w:p w14:paraId="635DF21B">
      <w:pPr>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包二、电位滴定仪自动进样控制系统</w:t>
      </w:r>
      <w:r>
        <w:rPr>
          <w:rFonts w:hint="eastAsia" w:ascii="Arial" w:hAnsi="Arial" w:cs="Arial"/>
          <w:sz w:val="21"/>
          <w:szCs w:val="21"/>
          <w:lang w:val="en-US" w:eastAsia="zh-CN"/>
        </w:rPr>
        <w:t xml:space="preserve"> </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1台 限价10万元</w:t>
      </w:r>
    </w:p>
    <w:p w14:paraId="0E0592D4">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239883AF">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名称：电位滴定仪自动进样控制系统 </w:t>
      </w:r>
    </w:p>
    <w:p w14:paraId="210B0978">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数量：1台</w:t>
      </w:r>
    </w:p>
    <w:p w14:paraId="2A13620D">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货期：签订合同一个月内</w:t>
      </w:r>
    </w:p>
    <w:p w14:paraId="75A56053">
      <w:pPr>
        <w:spacing w:line="276" w:lineRule="auto"/>
        <w:ind w:left="-141" w:leftChars="-67"/>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03F4FD3F">
      <w:pPr>
        <w:spacing w:line="360" w:lineRule="auto"/>
        <w:rPr>
          <w:rFonts w:ascii="Times New Roman" w:hAnsi="Times New Roman"/>
          <w:color w:val="000000"/>
          <w:sz w:val="21"/>
          <w:szCs w:val="21"/>
        </w:rPr>
      </w:pPr>
      <w:r>
        <w:rPr>
          <w:rFonts w:hint="eastAsia" w:ascii="Times New Roman" w:hAnsi="Times New Roman"/>
          <w:color w:val="000000"/>
          <w:sz w:val="21"/>
          <w:szCs w:val="21"/>
          <w:lang w:val="en-US" w:eastAsia="zh-CN"/>
        </w:rPr>
        <w:t>1、</w:t>
      </w:r>
      <w:r>
        <w:rPr>
          <w:rFonts w:ascii="Times New Roman" w:hAnsi="Times New Roman"/>
          <w:color w:val="000000"/>
          <w:sz w:val="21"/>
          <w:szCs w:val="21"/>
        </w:rPr>
        <w:t xml:space="preserve"> 自动样品处理器具有USB接口，支持热插拔；</w:t>
      </w:r>
    </w:p>
    <w:p w14:paraId="1287582D">
      <w:pPr>
        <w:spacing w:line="360" w:lineRule="auto"/>
        <w:rPr>
          <w:rFonts w:ascii="Times New Roman" w:hAnsi="Times New Roman"/>
          <w:color w:val="000000"/>
          <w:sz w:val="21"/>
          <w:szCs w:val="21"/>
        </w:rPr>
      </w:pPr>
      <w:r>
        <w:rPr>
          <w:rFonts w:hint="eastAsia" w:ascii="Times New Roman" w:hAnsi="Times New Roman"/>
          <w:color w:val="000000"/>
          <w:sz w:val="21"/>
          <w:szCs w:val="21"/>
          <w:lang w:val="en-US" w:eastAsia="zh-CN"/>
        </w:rPr>
        <w:t>2、</w:t>
      </w:r>
      <w:r>
        <w:rPr>
          <w:rFonts w:ascii="Times New Roman" w:hAnsi="Times New Roman"/>
          <w:color w:val="000000"/>
          <w:sz w:val="21"/>
          <w:szCs w:val="21"/>
        </w:rPr>
        <w:t>自动样品处理器配置机械臂，可以自由选择样品盘上的样品位进行滴定实验；</w:t>
      </w:r>
    </w:p>
    <w:p w14:paraId="2774BBB5">
      <w:pPr>
        <w:spacing w:line="360" w:lineRule="auto"/>
        <w:rPr>
          <w:rFonts w:ascii="Times New Roman" w:hAnsi="Times New Roman"/>
          <w:color w:val="000000"/>
          <w:sz w:val="21"/>
          <w:szCs w:val="21"/>
        </w:rPr>
      </w:pPr>
      <w:r>
        <w:rPr>
          <w:rFonts w:ascii="Segoe UI Symbol" w:hAnsi="Segoe UI Symbol" w:cs="Segoe UI Symbol"/>
          <w:color w:val="000000"/>
          <w:sz w:val="21"/>
          <w:szCs w:val="21"/>
        </w:rPr>
        <w:t>★</w:t>
      </w:r>
      <w:r>
        <w:rPr>
          <w:rFonts w:ascii="Times New Roman" w:hAnsi="Times New Roman"/>
          <w:color w:val="000000"/>
          <w:sz w:val="21"/>
          <w:szCs w:val="21"/>
        </w:rPr>
        <w:t xml:space="preserve">3 </w:t>
      </w:r>
      <w:r>
        <w:rPr>
          <w:rFonts w:hint="eastAsia" w:ascii="Times New Roman" w:hAnsi="Times New Roman"/>
          <w:color w:val="000000"/>
          <w:sz w:val="21"/>
          <w:szCs w:val="21"/>
          <w:lang w:eastAsia="zh-CN"/>
        </w:rPr>
        <w:t>、</w:t>
      </w:r>
      <w:r>
        <w:rPr>
          <w:rFonts w:ascii="Times New Roman" w:hAnsi="Times New Roman"/>
          <w:color w:val="000000"/>
          <w:sz w:val="21"/>
          <w:szCs w:val="21"/>
        </w:rPr>
        <w:t>配备样品盘，规格：孔数≥12个，烧杯体积≥250mL。同时可以灵活切换其他规格样品盘，不同样品盘之间可以无需工具快速切换，并且主机可以自动识别样品盘的规格；</w:t>
      </w:r>
    </w:p>
    <w:p w14:paraId="5A0804BE">
      <w:pPr>
        <w:spacing w:line="360" w:lineRule="auto"/>
        <w:rPr>
          <w:rFonts w:ascii="Times New Roman" w:hAnsi="Times New Roman"/>
          <w:color w:val="000000"/>
          <w:sz w:val="21"/>
          <w:szCs w:val="21"/>
        </w:rPr>
      </w:pPr>
      <w:r>
        <w:rPr>
          <w:rFonts w:ascii="Times New Roman" w:hAnsi="Times New Roman"/>
          <w:color w:val="000000"/>
          <w:sz w:val="21"/>
          <w:szCs w:val="21"/>
        </w:rPr>
        <w:t>4.</w:t>
      </w:r>
      <w:r>
        <w:rPr>
          <w:rFonts w:hint="eastAsia" w:ascii="Times New Roman" w:hAnsi="Times New Roman"/>
          <w:color w:val="000000"/>
          <w:sz w:val="21"/>
          <w:szCs w:val="21"/>
          <w:lang w:eastAsia="zh-CN"/>
        </w:rPr>
        <w:t>、</w:t>
      </w:r>
      <w:r>
        <w:rPr>
          <w:rFonts w:ascii="Times New Roman" w:hAnsi="Times New Roman"/>
          <w:color w:val="000000"/>
          <w:sz w:val="21"/>
          <w:szCs w:val="21"/>
        </w:rPr>
        <w:t>通过仪器软件对每个样品位独立编写程序进行实验，且每个程序可以根据不同的样品设定电极高度、冲洗位置及时间等等参数；</w:t>
      </w:r>
    </w:p>
    <w:p w14:paraId="2E761BE3">
      <w:pPr>
        <w:spacing w:line="360" w:lineRule="auto"/>
        <w:rPr>
          <w:rFonts w:ascii="Times New Roman" w:hAnsi="Times New Roman"/>
          <w:color w:val="000000"/>
          <w:sz w:val="21"/>
          <w:szCs w:val="21"/>
        </w:rPr>
      </w:pPr>
      <w:r>
        <w:rPr>
          <w:rFonts w:ascii="Times New Roman" w:hAnsi="Times New Roman"/>
          <w:color w:val="000000"/>
          <w:sz w:val="21"/>
          <w:szCs w:val="21"/>
        </w:rPr>
        <w:t xml:space="preserve">5 </w:t>
      </w:r>
      <w:r>
        <w:rPr>
          <w:rFonts w:hint="eastAsia" w:ascii="Times New Roman" w:hAnsi="Times New Roman"/>
          <w:color w:val="000000"/>
          <w:sz w:val="21"/>
          <w:szCs w:val="21"/>
          <w:lang w:eastAsia="zh-CN"/>
        </w:rPr>
        <w:t>、</w:t>
      </w:r>
      <w:r>
        <w:rPr>
          <w:rFonts w:ascii="Times New Roman" w:hAnsi="Times New Roman"/>
          <w:sz w:val="21"/>
          <w:szCs w:val="21"/>
        </w:rPr>
        <w:t>带光学样品杯识别探头：当某样品位没有放置滴定杯或样品杯时，主机自动识别并提醒。</w:t>
      </w:r>
    </w:p>
    <w:p w14:paraId="23A4D426">
      <w:pPr>
        <w:spacing w:line="360" w:lineRule="auto"/>
        <w:rPr>
          <w:rFonts w:ascii="Times New Roman" w:hAnsi="Times New Roman"/>
          <w:color w:val="000000"/>
          <w:sz w:val="21"/>
          <w:szCs w:val="21"/>
        </w:rPr>
      </w:pPr>
      <w:r>
        <w:rPr>
          <w:rFonts w:ascii="Times New Roman" w:hAnsi="Times New Roman"/>
          <w:color w:val="000000"/>
          <w:sz w:val="21"/>
          <w:szCs w:val="21"/>
        </w:rPr>
        <w:t xml:space="preserve">6 </w:t>
      </w:r>
      <w:r>
        <w:rPr>
          <w:rFonts w:hint="eastAsia" w:ascii="Times New Roman" w:hAnsi="Times New Roman"/>
          <w:color w:val="000000"/>
          <w:sz w:val="21"/>
          <w:szCs w:val="21"/>
          <w:lang w:eastAsia="zh-CN"/>
        </w:rPr>
        <w:t>、</w:t>
      </w:r>
      <w:r>
        <w:rPr>
          <w:rFonts w:ascii="Times New Roman" w:hAnsi="Times New Roman"/>
          <w:sz w:val="21"/>
          <w:szCs w:val="21"/>
        </w:rPr>
        <w:t>自动样品处理器</w:t>
      </w:r>
      <w:r>
        <w:rPr>
          <w:rFonts w:ascii="Times New Roman" w:hAnsi="Times New Roman"/>
          <w:color w:val="000000"/>
          <w:sz w:val="21"/>
          <w:szCs w:val="21"/>
        </w:rPr>
        <w:t>可根据需要选择磁力搅拌或螺旋搅拌；</w:t>
      </w:r>
    </w:p>
    <w:p w14:paraId="4B4AF3C0">
      <w:pPr>
        <w:spacing w:line="360" w:lineRule="auto"/>
        <w:rPr>
          <w:rFonts w:hint="eastAsia" w:ascii="Times New Roman" w:hAnsi="Times New Roman"/>
          <w:color w:val="000000"/>
          <w:sz w:val="21"/>
          <w:szCs w:val="21"/>
        </w:rPr>
      </w:pPr>
      <w:r>
        <w:rPr>
          <w:rFonts w:ascii="Segoe UI Symbol" w:hAnsi="Segoe UI Symbol" w:cs="Segoe UI Symbol"/>
          <w:color w:val="000000"/>
          <w:sz w:val="21"/>
          <w:szCs w:val="21"/>
        </w:rPr>
        <w:t>★</w:t>
      </w:r>
      <w:r>
        <w:rPr>
          <w:rFonts w:ascii="Times New Roman" w:hAnsi="Times New Roman"/>
          <w:color w:val="000000"/>
          <w:sz w:val="21"/>
          <w:szCs w:val="21"/>
        </w:rPr>
        <w:t xml:space="preserve">7 </w:t>
      </w:r>
      <w:r>
        <w:rPr>
          <w:rFonts w:hint="eastAsia" w:ascii="Times New Roman" w:hAnsi="Times New Roman"/>
          <w:color w:val="000000"/>
          <w:sz w:val="21"/>
          <w:szCs w:val="21"/>
          <w:lang w:eastAsia="zh-CN"/>
        </w:rPr>
        <w:t>、</w:t>
      </w:r>
      <w:r>
        <w:rPr>
          <w:rFonts w:ascii="Times New Roman" w:hAnsi="Times New Roman"/>
          <w:color w:val="000000"/>
          <w:sz w:val="21"/>
          <w:szCs w:val="21"/>
        </w:rPr>
        <w:t>仪器可以与</w:t>
      </w:r>
      <w:r>
        <w:rPr>
          <w:rFonts w:hint="eastAsia" w:ascii="Times New Roman" w:hAnsi="Times New Roman"/>
          <w:color w:val="000000"/>
          <w:sz w:val="21"/>
          <w:szCs w:val="21"/>
        </w:rPr>
        <w:t>领臻电子电位滴定仪连用。</w:t>
      </w:r>
    </w:p>
    <w:p w14:paraId="76CECF11">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三</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配置清单(包括但不限于)</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14:paraId="3A63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F9DEB34">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4677" w:type="dxa"/>
          </w:tcPr>
          <w:p w14:paraId="66AE16A3">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主要组件内容</w:t>
            </w:r>
          </w:p>
        </w:tc>
        <w:tc>
          <w:tcPr>
            <w:tcW w:w="2127" w:type="dxa"/>
          </w:tcPr>
          <w:p w14:paraId="5F694E75">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数量</w:t>
            </w:r>
          </w:p>
        </w:tc>
      </w:tr>
      <w:tr w14:paraId="259C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915A912">
            <w:pPr>
              <w:numPr>
                <w:ilvl w:val="0"/>
                <w:numId w:val="0"/>
              </w:numPr>
              <w:spacing w:line="276" w:lineRule="auto"/>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w:t>
            </w:r>
          </w:p>
        </w:tc>
        <w:tc>
          <w:tcPr>
            <w:tcW w:w="4677" w:type="dxa"/>
          </w:tcPr>
          <w:p w14:paraId="4C0496D7">
            <w:pPr>
              <w:numPr>
                <w:ilvl w:val="0"/>
                <w:numId w:val="0"/>
              </w:numPr>
              <w:spacing w:line="276" w:lineRule="auto"/>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自动样品处理器</w:t>
            </w:r>
          </w:p>
        </w:tc>
        <w:tc>
          <w:tcPr>
            <w:tcW w:w="2127" w:type="dxa"/>
          </w:tcPr>
          <w:p w14:paraId="436E7BA2">
            <w:pPr>
              <w:numPr>
                <w:ilvl w:val="0"/>
                <w:numId w:val="0"/>
              </w:numPr>
              <w:spacing w:line="276" w:lineRule="auto"/>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1台</w:t>
            </w:r>
          </w:p>
        </w:tc>
      </w:tr>
      <w:tr w14:paraId="5D16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ACEFE8F">
            <w:pPr>
              <w:numPr>
                <w:ilvl w:val="0"/>
                <w:numId w:val="0"/>
              </w:numPr>
              <w:spacing w:line="276" w:lineRule="auto"/>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2</w:t>
            </w:r>
          </w:p>
        </w:tc>
        <w:tc>
          <w:tcPr>
            <w:tcW w:w="4677" w:type="dxa"/>
          </w:tcPr>
          <w:p w14:paraId="2A0BFDA1">
            <w:pPr>
              <w:numPr>
                <w:ilvl w:val="0"/>
                <w:numId w:val="0"/>
              </w:numPr>
              <w:spacing w:line="276" w:lineRule="auto"/>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250mL样品盘</w:t>
            </w:r>
          </w:p>
        </w:tc>
        <w:tc>
          <w:tcPr>
            <w:tcW w:w="2127" w:type="dxa"/>
          </w:tcPr>
          <w:p w14:paraId="2770050A">
            <w:pPr>
              <w:numPr>
                <w:ilvl w:val="0"/>
                <w:numId w:val="0"/>
              </w:numPr>
              <w:spacing w:line="276" w:lineRule="auto"/>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1个</w:t>
            </w:r>
          </w:p>
        </w:tc>
      </w:tr>
      <w:tr w14:paraId="52A4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E0410D6">
            <w:pPr>
              <w:numPr>
                <w:ilvl w:val="0"/>
                <w:numId w:val="0"/>
              </w:numPr>
              <w:spacing w:line="276" w:lineRule="auto"/>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w:t>
            </w:r>
          </w:p>
        </w:tc>
        <w:tc>
          <w:tcPr>
            <w:tcW w:w="4677" w:type="dxa"/>
          </w:tcPr>
          <w:p w14:paraId="5F54321A">
            <w:pPr>
              <w:numPr>
                <w:ilvl w:val="0"/>
                <w:numId w:val="0"/>
              </w:numPr>
              <w:spacing w:line="276" w:lineRule="auto"/>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隔膜泵</w:t>
            </w:r>
          </w:p>
        </w:tc>
        <w:tc>
          <w:tcPr>
            <w:tcW w:w="2127" w:type="dxa"/>
          </w:tcPr>
          <w:p w14:paraId="1E2FE5F6">
            <w:pPr>
              <w:numPr>
                <w:ilvl w:val="0"/>
                <w:numId w:val="0"/>
              </w:numPr>
              <w:spacing w:line="276" w:lineRule="auto"/>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1个</w:t>
            </w:r>
          </w:p>
        </w:tc>
      </w:tr>
      <w:tr w14:paraId="1A99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04C304D">
            <w:pPr>
              <w:numPr>
                <w:ilvl w:val="0"/>
                <w:numId w:val="0"/>
              </w:numPr>
              <w:spacing w:line="276" w:lineRule="auto"/>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w:t>
            </w:r>
          </w:p>
        </w:tc>
        <w:tc>
          <w:tcPr>
            <w:tcW w:w="4677" w:type="dxa"/>
          </w:tcPr>
          <w:p w14:paraId="554C6ADF">
            <w:pPr>
              <w:numPr>
                <w:ilvl w:val="0"/>
                <w:numId w:val="0"/>
              </w:numPr>
              <w:spacing w:line="276" w:lineRule="auto"/>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蠕动泵</w:t>
            </w:r>
          </w:p>
        </w:tc>
        <w:tc>
          <w:tcPr>
            <w:tcW w:w="2127" w:type="dxa"/>
          </w:tcPr>
          <w:p w14:paraId="33D3A2D2">
            <w:pPr>
              <w:numPr>
                <w:ilvl w:val="0"/>
                <w:numId w:val="0"/>
              </w:numPr>
              <w:spacing w:line="276" w:lineRule="auto"/>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1套</w:t>
            </w:r>
          </w:p>
        </w:tc>
      </w:tr>
    </w:tbl>
    <w:p w14:paraId="355D9983">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四、商务要求</w:t>
      </w:r>
    </w:p>
    <w:p w14:paraId="220467D5">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6B20EB3A">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1A8B8E2E">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1B102A6A">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21C9C837">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151202D3">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001F09A5">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8、中标人负责设备的供货、安装调试、验收，经招标人验收合格方可。质量保证期不少于 2 年，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5646F75D">
      <w:pPr>
        <w:spacing w:line="360" w:lineRule="auto"/>
        <w:rPr>
          <w:rFonts w:hint="eastAsia" w:ascii="Times New Roman" w:hAnsi="Times New Roman"/>
          <w:color w:val="000000"/>
          <w:sz w:val="21"/>
          <w:szCs w:val="21"/>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4FD0731B">
      <w:pPr>
        <w:rPr>
          <w:rFonts w:hint="eastAsia"/>
          <w:lang w:val="en-US" w:eastAsia="zh-CN"/>
        </w:rPr>
      </w:pPr>
    </w:p>
    <w:p w14:paraId="24DF39DD"/>
    <w:p w14:paraId="4EF19494">
      <w:pPr>
        <w:spacing w:line="276" w:lineRule="auto"/>
        <w:ind w:left="-141" w:leftChars="-67"/>
        <w:jc w:val="cente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 </w:t>
      </w:r>
    </w:p>
    <w:p w14:paraId="04B887A8">
      <w:pPr>
        <w:rPr>
          <w:rFonts w:hint="default" w:ascii="Times New Roman" w:hAnsi="Times New Roman" w:eastAsia="宋体" w:cs="Times New Roman"/>
          <w:bCs/>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br w:type="page"/>
      </w:r>
      <w:bookmarkStart w:id="2" w:name="_GoBack"/>
      <w:bookmarkEnd w:id="2"/>
    </w:p>
    <w:p w14:paraId="32FE27FA"/>
    <w:p w14:paraId="2B217C18">
      <w:pPr>
        <w:spacing w:line="276" w:lineRule="auto"/>
        <w:ind w:left="-141" w:leftChars="-67"/>
        <w:jc w:val="left"/>
        <w:rPr>
          <w:rFonts w:hint="default" w:ascii="Times New Roman" w:hAnsi="Times New Roman" w:eastAsia="宋体" w:cs="Times New Roman"/>
          <w:bCs/>
          <w:color w:val="000000" w:themeColor="text1"/>
          <w:kern w:val="0"/>
          <w:szCs w:val="2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991B37"/>
    <w:multiLevelType w:val="multilevel"/>
    <w:tmpl w:val="51991B37"/>
    <w:lvl w:ilvl="0" w:tentative="0">
      <w:start w:val="1"/>
      <w:numFmt w:val="decimal"/>
      <w:lvlText w:val="%1."/>
      <w:lvlJc w:val="left"/>
      <w:pPr>
        <w:ind w:left="360" w:hanging="360"/>
      </w:pPr>
      <w:rPr>
        <w:rFonts w:hint="default" w:ascii="Times New Roman" w:hAnsi="Times New Roman" w:cs="Times New Roman" w:eastAsiaTheme="majorEastAsia"/>
        <w:b w:val="0"/>
        <w:bCs/>
        <w:sz w:val="21"/>
        <w:szCs w:val="16"/>
      </w:rPr>
    </w:lvl>
    <w:lvl w:ilvl="1" w:tentative="0">
      <w:start w:val="1"/>
      <w:numFmt w:val="decimal"/>
      <w:isLgl/>
      <w:lvlText w:val="%1.%2"/>
      <w:lvlJc w:val="left"/>
      <w:pPr>
        <w:ind w:left="420" w:hanging="420"/>
      </w:pPr>
      <w:rPr>
        <w:rFonts w:hint="default" w:ascii="Times New Roman" w:hAnsi="Times New Roman" w:cs="Times New Roman"/>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76"/>
    <w:rsid w:val="000013B3"/>
    <w:rsid w:val="00004425"/>
    <w:rsid w:val="000156B4"/>
    <w:rsid w:val="00020478"/>
    <w:rsid w:val="000214E4"/>
    <w:rsid w:val="0004574A"/>
    <w:rsid w:val="00051F24"/>
    <w:rsid w:val="00054CF9"/>
    <w:rsid w:val="00081250"/>
    <w:rsid w:val="000A3F88"/>
    <w:rsid w:val="000B5F70"/>
    <w:rsid w:val="000B7574"/>
    <w:rsid w:val="000C2093"/>
    <w:rsid w:val="000E295A"/>
    <w:rsid w:val="000E3842"/>
    <w:rsid w:val="000F2121"/>
    <w:rsid w:val="000F793C"/>
    <w:rsid w:val="00100234"/>
    <w:rsid w:val="00107683"/>
    <w:rsid w:val="001216CD"/>
    <w:rsid w:val="00126162"/>
    <w:rsid w:val="001366A5"/>
    <w:rsid w:val="00136AF7"/>
    <w:rsid w:val="00142A18"/>
    <w:rsid w:val="0014407F"/>
    <w:rsid w:val="00176A03"/>
    <w:rsid w:val="0018453A"/>
    <w:rsid w:val="0018488F"/>
    <w:rsid w:val="001A034F"/>
    <w:rsid w:val="001C4EA4"/>
    <w:rsid w:val="001D08FE"/>
    <w:rsid w:val="001D5A73"/>
    <w:rsid w:val="001D6057"/>
    <w:rsid w:val="001F344F"/>
    <w:rsid w:val="001F3C73"/>
    <w:rsid w:val="001F3F88"/>
    <w:rsid w:val="001F6F6C"/>
    <w:rsid w:val="00207680"/>
    <w:rsid w:val="0021252E"/>
    <w:rsid w:val="00232752"/>
    <w:rsid w:val="0023488E"/>
    <w:rsid w:val="00236B53"/>
    <w:rsid w:val="00237C14"/>
    <w:rsid w:val="00244FE1"/>
    <w:rsid w:val="0025060F"/>
    <w:rsid w:val="00251F27"/>
    <w:rsid w:val="002646AA"/>
    <w:rsid w:val="00274644"/>
    <w:rsid w:val="002757C5"/>
    <w:rsid w:val="00276757"/>
    <w:rsid w:val="0028498F"/>
    <w:rsid w:val="0029604A"/>
    <w:rsid w:val="002A7719"/>
    <w:rsid w:val="002B6096"/>
    <w:rsid w:val="002C5223"/>
    <w:rsid w:val="002E08C8"/>
    <w:rsid w:val="002E1324"/>
    <w:rsid w:val="002E3FFF"/>
    <w:rsid w:val="002F71A2"/>
    <w:rsid w:val="002F74A6"/>
    <w:rsid w:val="003007ED"/>
    <w:rsid w:val="00312453"/>
    <w:rsid w:val="003146AE"/>
    <w:rsid w:val="003301D5"/>
    <w:rsid w:val="003328EA"/>
    <w:rsid w:val="00337BF2"/>
    <w:rsid w:val="003548B2"/>
    <w:rsid w:val="0035719F"/>
    <w:rsid w:val="00366108"/>
    <w:rsid w:val="0037270A"/>
    <w:rsid w:val="00374DFB"/>
    <w:rsid w:val="00385A1B"/>
    <w:rsid w:val="003955FF"/>
    <w:rsid w:val="003A3A27"/>
    <w:rsid w:val="003A56E1"/>
    <w:rsid w:val="003C248D"/>
    <w:rsid w:val="003E183D"/>
    <w:rsid w:val="003E67F3"/>
    <w:rsid w:val="003F29D2"/>
    <w:rsid w:val="003F4FCD"/>
    <w:rsid w:val="00416356"/>
    <w:rsid w:val="00423804"/>
    <w:rsid w:val="00425254"/>
    <w:rsid w:val="00425989"/>
    <w:rsid w:val="00427A35"/>
    <w:rsid w:val="00435B67"/>
    <w:rsid w:val="004404F3"/>
    <w:rsid w:val="00443B9C"/>
    <w:rsid w:val="00450999"/>
    <w:rsid w:val="0045454C"/>
    <w:rsid w:val="00476864"/>
    <w:rsid w:val="00486BDF"/>
    <w:rsid w:val="004C0DB0"/>
    <w:rsid w:val="004D77B5"/>
    <w:rsid w:val="004F6FAC"/>
    <w:rsid w:val="00502C19"/>
    <w:rsid w:val="00516389"/>
    <w:rsid w:val="00520F19"/>
    <w:rsid w:val="00536404"/>
    <w:rsid w:val="005655EB"/>
    <w:rsid w:val="00574697"/>
    <w:rsid w:val="00582878"/>
    <w:rsid w:val="0058713F"/>
    <w:rsid w:val="005D0447"/>
    <w:rsid w:val="005D0D12"/>
    <w:rsid w:val="005D4D36"/>
    <w:rsid w:val="005D7236"/>
    <w:rsid w:val="005D7CAC"/>
    <w:rsid w:val="005E49C2"/>
    <w:rsid w:val="006078C6"/>
    <w:rsid w:val="00627384"/>
    <w:rsid w:val="0062761A"/>
    <w:rsid w:val="00627FA8"/>
    <w:rsid w:val="0065606C"/>
    <w:rsid w:val="00661222"/>
    <w:rsid w:val="00661CFB"/>
    <w:rsid w:val="006620A1"/>
    <w:rsid w:val="00680AD4"/>
    <w:rsid w:val="00685D4C"/>
    <w:rsid w:val="006918CF"/>
    <w:rsid w:val="006A2665"/>
    <w:rsid w:val="006B6AE4"/>
    <w:rsid w:val="006C63B9"/>
    <w:rsid w:val="006E6AB5"/>
    <w:rsid w:val="006F4CC7"/>
    <w:rsid w:val="00707B26"/>
    <w:rsid w:val="00727861"/>
    <w:rsid w:val="00732759"/>
    <w:rsid w:val="007331D2"/>
    <w:rsid w:val="00737192"/>
    <w:rsid w:val="00740E1A"/>
    <w:rsid w:val="0075298D"/>
    <w:rsid w:val="00781287"/>
    <w:rsid w:val="00790C8C"/>
    <w:rsid w:val="00795A4E"/>
    <w:rsid w:val="007B47B7"/>
    <w:rsid w:val="007C002E"/>
    <w:rsid w:val="007C4A19"/>
    <w:rsid w:val="007C7182"/>
    <w:rsid w:val="007E51C6"/>
    <w:rsid w:val="0080286E"/>
    <w:rsid w:val="008173C7"/>
    <w:rsid w:val="00821C95"/>
    <w:rsid w:val="00834148"/>
    <w:rsid w:val="00846189"/>
    <w:rsid w:val="00847D52"/>
    <w:rsid w:val="0086227F"/>
    <w:rsid w:val="00867DF5"/>
    <w:rsid w:val="00870932"/>
    <w:rsid w:val="00875540"/>
    <w:rsid w:val="00884E7A"/>
    <w:rsid w:val="00890C37"/>
    <w:rsid w:val="00894DEA"/>
    <w:rsid w:val="008A21E8"/>
    <w:rsid w:val="008A7B23"/>
    <w:rsid w:val="008B0723"/>
    <w:rsid w:val="008B1EBD"/>
    <w:rsid w:val="008B7C2C"/>
    <w:rsid w:val="008C7306"/>
    <w:rsid w:val="008D3018"/>
    <w:rsid w:val="008E5615"/>
    <w:rsid w:val="008E63EC"/>
    <w:rsid w:val="008E6FF2"/>
    <w:rsid w:val="008F36A6"/>
    <w:rsid w:val="008F3E78"/>
    <w:rsid w:val="00907E0F"/>
    <w:rsid w:val="009216EB"/>
    <w:rsid w:val="00921F27"/>
    <w:rsid w:val="009263FD"/>
    <w:rsid w:val="0094246B"/>
    <w:rsid w:val="0094769D"/>
    <w:rsid w:val="00955935"/>
    <w:rsid w:val="009566C1"/>
    <w:rsid w:val="00957B58"/>
    <w:rsid w:val="00960782"/>
    <w:rsid w:val="00963D27"/>
    <w:rsid w:val="00981C96"/>
    <w:rsid w:val="00994CE6"/>
    <w:rsid w:val="009A6EBB"/>
    <w:rsid w:val="009B54C3"/>
    <w:rsid w:val="009B7133"/>
    <w:rsid w:val="009B787E"/>
    <w:rsid w:val="009C36D2"/>
    <w:rsid w:val="009D03EB"/>
    <w:rsid w:val="009D250F"/>
    <w:rsid w:val="009D5B6B"/>
    <w:rsid w:val="009E055B"/>
    <w:rsid w:val="009E71C8"/>
    <w:rsid w:val="009F2D58"/>
    <w:rsid w:val="009F4392"/>
    <w:rsid w:val="00A041D1"/>
    <w:rsid w:val="00A11988"/>
    <w:rsid w:val="00A273C6"/>
    <w:rsid w:val="00A325AB"/>
    <w:rsid w:val="00A46032"/>
    <w:rsid w:val="00A46238"/>
    <w:rsid w:val="00A52C76"/>
    <w:rsid w:val="00A61A89"/>
    <w:rsid w:val="00A625FF"/>
    <w:rsid w:val="00A808D9"/>
    <w:rsid w:val="00A84B72"/>
    <w:rsid w:val="00A8640F"/>
    <w:rsid w:val="00A915AC"/>
    <w:rsid w:val="00AA33E9"/>
    <w:rsid w:val="00AD0D9D"/>
    <w:rsid w:val="00AD1975"/>
    <w:rsid w:val="00AD2B0A"/>
    <w:rsid w:val="00AD7478"/>
    <w:rsid w:val="00AF066B"/>
    <w:rsid w:val="00AF1803"/>
    <w:rsid w:val="00AF5327"/>
    <w:rsid w:val="00AF5F9F"/>
    <w:rsid w:val="00B05533"/>
    <w:rsid w:val="00B24EF3"/>
    <w:rsid w:val="00B336BD"/>
    <w:rsid w:val="00B5031B"/>
    <w:rsid w:val="00B50DAB"/>
    <w:rsid w:val="00B57B28"/>
    <w:rsid w:val="00B60365"/>
    <w:rsid w:val="00B76E47"/>
    <w:rsid w:val="00B82B42"/>
    <w:rsid w:val="00B8347A"/>
    <w:rsid w:val="00B90E07"/>
    <w:rsid w:val="00BA7785"/>
    <w:rsid w:val="00BB1540"/>
    <w:rsid w:val="00BC715F"/>
    <w:rsid w:val="00BE5D20"/>
    <w:rsid w:val="00BE723E"/>
    <w:rsid w:val="00BF04CB"/>
    <w:rsid w:val="00BF19BC"/>
    <w:rsid w:val="00C0148D"/>
    <w:rsid w:val="00C01650"/>
    <w:rsid w:val="00C02DD7"/>
    <w:rsid w:val="00C04AD8"/>
    <w:rsid w:val="00C07BCC"/>
    <w:rsid w:val="00C179AB"/>
    <w:rsid w:val="00C34EAD"/>
    <w:rsid w:val="00C402D4"/>
    <w:rsid w:val="00C438CE"/>
    <w:rsid w:val="00C4599B"/>
    <w:rsid w:val="00C5324D"/>
    <w:rsid w:val="00C677FE"/>
    <w:rsid w:val="00C7071E"/>
    <w:rsid w:val="00C72056"/>
    <w:rsid w:val="00C86088"/>
    <w:rsid w:val="00C9169B"/>
    <w:rsid w:val="00CA280D"/>
    <w:rsid w:val="00CA2DF1"/>
    <w:rsid w:val="00CB67EB"/>
    <w:rsid w:val="00CD49AF"/>
    <w:rsid w:val="00CF24AA"/>
    <w:rsid w:val="00CF7BB0"/>
    <w:rsid w:val="00D04D52"/>
    <w:rsid w:val="00D15F66"/>
    <w:rsid w:val="00D24F07"/>
    <w:rsid w:val="00D24F30"/>
    <w:rsid w:val="00D32441"/>
    <w:rsid w:val="00D36C17"/>
    <w:rsid w:val="00D405FB"/>
    <w:rsid w:val="00D533AC"/>
    <w:rsid w:val="00D70C72"/>
    <w:rsid w:val="00D74088"/>
    <w:rsid w:val="00D757CB"/>
    <w:rsid w:val="00D76231"/>
    <w:rsid w:val="00D810F9"/>
    <w:rsid w:val="00D8191C"/>
    <w:rsid w:val="00D906F5"/>
    <w:rsid w:val="00D9250A"/>
    <w:rsid w:val="00DA58C2"/>
    <w:rsid w:val="00DB4E07"/>
    <w:rsid w:val="00DC16AF"/>
    <w:rsid w:val="00DD61FF"/>
    <w:rsid w:val="00DD7819"/>
    <w:rsid w:val="00DF1D66"/>
    <w:rsid w:val="00DF47B2"/>
    <w:rsid w:val="00E00133"/>
    <w:rsid w:val="00E00522"/>
    <w:rsid w:val="00E13A16"/>
    <w:rsid w:val="00E32C8E"/>
    <w:rsid w:val="00E402C8"/>
    <w:rsid w:val="00E53740"/>
    <w:rsid w:val="00E62300"/>
    <w:rsid w:val="00E719B0"/>
    <w:rsid w:val="00E80960"/>
    <w:rsid w:val="00E82D0F"/>
    <w:rsid w:val="00E831A9"/>
    <w:rsid w:val="00E93D32"/>
    <w:rsid w:val="00EA5EA0"/>
    <w:rsid w:val="00EB4781"/>
    <w:rsid w:val="00EC7D3F"/>
    <w:rsid w:val="00ED5C15"/>
    <w:rsid w:val="00EE5338"/>
    <w:rsid w:val="00EF3368"/>
    <w:rsid w:val="00F01D12"/>
    <w:rsid w:val="00F11C6A"/>
    <w:rsid w:val="00F2078C"/>
    <w:rsid w:val="00F2455D"/>
    <w:rsid w:val="00F26165"/>
    <w:rsid w:val="00F8306E"/>
    <w:rsid w:val="00F8413C"/>
    <w:rsid w:val="00FA6659"/>
    <w:rsid w:val="00FD5457"/>
    <w:rsid w:val="00FE7DDD"/>
    <w:rsid w:val="00FF6943"/>
    <w:rsid w:val="07F35D01"/>
    <w:rsid w:val="1F7E65C1"/>
    <w:rsid w:val="672600C8"/>
    <w:rsid w:val="6A4C4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5598</Words>
  <Characters>5922</Characters>
  <Lines>13</Lines>
  <Paragraphs>3</Paragraphs>
  <TotalTime>4</TotalTime>
  <ScaleCrop>false</ScaleCrop>
  <LinksUpToDate>false</LinksUpToDate>
  <CharactersWithSpaces>6051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2024-04-17T08:11:00Z</dcterms:created>
  <dc:creator>Yu, Jiajie</dc:creator>
  <cp:lastModifiedBy>谭绍东</cp:lastModifiedBy>
  <dcterms:modified xsi:type="dcterms:W3CDTF">2025-09-19T00:17:14Z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396153A813F345CDA1AB0A8FA46B6DDD_13</vt:lpwstr>
  </property>
</Properties>
</file>